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bổ sung để nghiên cứu, phát triển, thử nghiệm sản phẩm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có sự thay đổi tên, mục tiêu, nội dung, tiến độ và sản phẩm của nhiệm vụ đã được Bộ trưởng Bộ Công Thương phê duyệt, tổ chức, doanh nghiệp thực hiện đăng ký bổ sung theo thủ tục quy định tại khoản 3 Điều 6 Thông tư số 23/2024/TT-BCT.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đăng ký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bổ sung;</w:t>
            </w:r>
          </w:p>
        </w:tc>
        <w:tc>
          <w:p/>
          <w:p>
            <w:pPr>
              <w:spacing w:after="0" w:before="0" w:lineRule="auto" w:line="276"/>
              <w:jc w:val="left"/>
            </w:pPr>
            <w:r>
              <w:rPr>
                <w:rFonts w:ascii="Times New Roman" w:hAnsi="Times New Roman" w:cs="Times New Roman" w:eastAsia="Times New Roman"/>
                <w:b w:val="false"/>
                <w:sz w:val="26"/>
              </w:rPr>
              <w:t>Mauso01_KHCN.docx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sự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có sự thay đổi tên, mục tiêu, nội dung, tiến độ và sản phẩm của nhiệm vụ đã được Bộ trưởng Bộ Công Thương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2025-11-27T08:44:39Z</dcterms:created>
  <dc:creator>Apache POI</dc:creator>
</cp:coreProperties>
</file>