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sử dụng vật liệu nổ công nghiệp thuộc thẩm quyền giải quyết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quy mô hoạt động hoặc điều kiện sử dụng vật liệu nổ công nghiệp thì tổ chức, doanh nghiệp đề nghị điều chỉnh giấy phép sử dụng vật liệu nổ công nghiệp.
	- Hồ sơ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
	- Cục Kỹ thuật an toàn và Môi trường công nghiệp cấp điều chỉnh giấy phép sử dụng vật liệu nổ công nghiệp cho tổ chức, doanh nghiệp nghiên cứu, thử nghiệm vật liệu nổ công nghiệp hoặc có giấy phép hoạt động khoáng sản do Bộ Tài nguyên và Môi trường cấp, trừ tổ chức, doanh nghiệp thuộc phạm vi quản lý của Bộ Quốc phòng và tổ chức, doanh nghiệp có giấy phép hoạt động khoáng sản do Bộ Tài nguyên và Môi trường cấp để khai thác đá ốp lát, bột đá carbonat canxi.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p>
            <w:pPr>
              <w:spacing w:after="0" w:before="0" w:lineRule="auto" w:line="276"/>
              <w:jc w:val="left"/>
            </w:pPr>
            <w:r>
              <w:rPr>
                <w:rFonts w:ascii="Times New Roman" w:hAnsi="Times New Roman" w:cs="Times New Roman" w:eastAsia="Times New Roman"/>
                <w:b w:val="false"/>
                <w:sz w:val="26"/>
              </w:rPr>
              <w:t>Lệ 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tại Thông tư số 148/2016/TT-BTC được sửa đổi, bổ sung bởi Thông tư số 53/2019/TT-BTC.)</w:t>
            </w:r>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p>
            <w:pPr>
              <w:spacing w:after="0" w:before="0" w:lineRule="auto" w:line="276"/>
              <w:jc w:val="left"/>
            </w:pPr>
            <w:r>
              <w:rPr>
                <w:rFonts w:ascii="Times New Roman" w:hAnsi="Times New Roman" w:cs="Times New Roman" w:eastAsia="Times New Roman"/>
                <w:b w:val="false"/>
                <w:sz w:val="26"/>
              </w:rPr>
              <w:t>Lệ 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Báo cáo hoạt động sử dụng vật liệu nổ công nghiệp trong thời hạn hiệu lực của giấy phép đã cấp;</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tài liệu quy định tại khoản 1 Điều 39 Luật  Quản lý, sử dụng vũ khí, vật liệu nổ và công cụ hỗ trợ  chứng minh sự thay đổi về quy mô hoạt động hoặc điều kiện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sử dụng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https://thutuc.dichvucong.gov.vn/p/home/dvc-tthc-thu-tuc-hanh-chinh-chi-tiet.html?ma_thu_tuc=364605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2025-11-27T08:44:40Z</dcterms:created>
  <dc:creator>Apache POI</dc:creator>
</cp:coreProperties>
</file>