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dịch vụ nổ mìn trên thềm lục địa hoặc dịch vụ nổ mìn có phạm vi hoạt động trên toàn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nộp trên Cổng dịch vụ công quốc gia, Hệ thống thông tin giải quyết thủ tục hành chính của Bộ Công Thương hoặc gửi qua đường bưu chính về Cục Kỹ thuật an toàn và Môi trường công nghiệp;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trong đó ghi rõ tên, địa chỉ tổ chức, doanh nghiệp; lý do; họ tên, địa chỉ, số định danh cá nhân hoặc số hộ chiếu của người đại diện theo pháp luật; số quyết định thành lập tổ chức hoặc số giấy chứng nhận đăng ký doanh nghiệp; số giấy chứng nhận đủ điều kiện về an ninh, trật tự.</w:t>
            </w:r>
          </w:p>
        </w:tc>
        <w:tc>
          <w:p/>
          <w:p>
            <w:pPr>
              <w:spacing w:after="0" w:before="0" w:lineRule="auto" w:line="276"/>
              <w:jc w:val="left"/>
            </w:pPr>
            <w:r>
              <w:rPr>
                <w:rFonts w:ascii="Times New Roman" w:hAnsi="Times New Roman" w:cs="Times New Roman" w:eastAsia="Times New Roman"/>
                <w:b w:val="false"/>
                <w:sz w:val="26"/>
              </w:rPr>
              <w:t>Mau05_nomin.docx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dịch vụ nổ mìn của cơ quan quản lý có thẩm quyền do Bộ trưởng Bộ Công Thương quy định đối với dịch vụ nổ mìn trên thềm lục địa hoặc dịch vụ nổ mìn có phạm vi hoạt động trên toàn lãnh thổ nước Cộng hòa xã hội chủ nghĩa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hoặc giấy phép dịch vụ nổ mìn và phương án nổ mìn điển hình đã thực hiện trong 02 năm trở về trước tính từ thời điểm đề nghị cấp giấy phép dịch vụ nổ mìn; giấy tờ, tài liệu quy định tại điểm đ, e và g khoản 1 Điều 39 của Luật Quản lý, sử dụng vũ khí, vật liệu nổ và công cụ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doanh nghiệp đã có giấy phép kinh doanh vật liệu nổ công nghiệp thì hồ sơ không bao gồm giấy tờ, tài liệu quy định tại điểm b khoản 4 Điều 40  và điểm đ khoản 1 Điều 39 của Luật  Quản lý, sử dụng vũ khí, vật liệu nổ và công cụ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thành lập theo quy định của pháp luật, có đăng ký ngành, nghề cung ứng dịch vụ nổ mìn; đối với doanh nghiệp cung ứng dịch vụ nổ mìn có phạm vi hoạt động trên toàn lãnh thổ nước Cộng hòa xã hội chủ nghĩa Việt Nam phải là doanh nghiệp nhà nước hoặc doanh nghiệp do doanh nghiệp nhà nước nắm giữ 100% vốn điều lệ;
-  Có đủ điều kiện về sử dụng, bảo quản và vận chuyển vật liệu nổ công nghiệp theo quy định của Luật Quản lý, sử dụng vũ khí, vật liệu nổ và công cụ hỗ trợ ; có cơ sở vật chất, kỹ thuật và nhân sự bảo đảm cung ứng dịch vụ nổ mìn cho tổ chức, cá nhân thuê dịch vụ;
-  Có quyền và nghĩa vụ theo quy định của Luật  Quản lý, sử dụng vũ khí, vật liệu nổ và công cụ hỗ trợ  và quy định khác của pháp luật có liên quan khi sử dụng, bảo quản, vận chuyển vật liệu nổ công nghiệp để thực hiện dịch vụ nổ mìn.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2025-11-27T08:44:38Z</dcterms:created>
  <dc:creator>Apache POI</dc:creator>
</cp:coreProperties>
</file>