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gia hạn Giấy phép hoạt động điện lực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này và thực hiện như sau:
a) Trường hợp hồ sơ đầy đủ và hợp lệ, thực hiện theo quy định tại khoản 2, khoản 3 Điều này;
b) Trường hợp hồ sơ không đầy đủ và hợp lệ, gửi yêu cầu bổ sung hồ sơ đến tổ chức đề nghị cấp giấy phép hoạt động điện lực;
c)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2. Trường hợp cấp mới, trong thời hạn 14 ngày từ ngày nhận được hồ sơ đầy đủ và hợp lệ, cơ quan cấp giấy phép hoạt động điện lực có trách nhiệm:
a) Thẩm định hồ sơ theo điều kiện cấp giấy phép hoạt động điện lực quy định tại Điều 31 Luật Điện lực và Chương II Nghị định này; đánh giá hồ sơ thực hiện theo quy định tại Điều 19 Nghị định này và thông báo thu phí thẩm định cấp giấy phép hoạt động điện lực; trường hợp cần thiết, gửi văn bản lấy ý kiến của cơ quan, tổ chức có liên quan, tổ chức kiểm tra thực tế tại công trình;
b) Trường hợp hồ sơ đáp ứng điều kiện, thực hiện theo quy định tại khoản 5 Điều này;
c) Trường hợp không đáp ứng một trong các điều kiện, từ chối hồ sơ và thông báo bằng văn bản cho tổ chức đề nghị cấp giấy phép hoạt động điện lực, nêu rõ lý do.
3. Trường hợp cấp sửa đổi, bổ sung, cấp gia hạn, cấp lại, trong thời hạn 10 ngày từ ngày nhận được hồ sơ đầy đủ và hợp lệ, cơ quan cấp giấy phép hoạt động điện lực có trách nhiệm thực hiện theo quy định tại các điểm a, b và điểm c khoản 2 Điều này.
4. Trường hợp hồ sơ phức tạp, cơ quan cấp giấy phép hoạt động điện lực có thể gia hạn thời gian thẩm định quy định tại khoản 2, khoản 3 Điều này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này.
5. Trường hợp đã nộp phí thẩm định cấp giấy phép hoạt động điện lực, thực hiện cấp giấy phép hoạt động điện lực trong thời hạn quy định tại khoản 2 và khoản 3 Điều này.
6.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
20 ngày đối với trường hợp hồ sơ phức tạp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
20 ngày đối với trường hợp hồ sơ phức tạp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a) Hồ sơ đề nghị cấp giấy phép hoạt động điện lực thuộc thẩm quyền cấp giấy phép của Bộ Công Thương nộp thông qua Cổng Dịch vụ công trực tuyến của Bộ Công Thương. Trường hợp tài liệu theo quy định của pháp luật không được gửi qua mạng thông tin điện tử thì gửi trực tiếp hoặc qua đường dịch vụ bưu chính;
b)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c) Tài liệu nộp trên môi trường điện tử là bản sao điện tử từ bản chính. Tài liệu nộp trực tiếp là bản chính hoặc bản sao.
20 ngày đối với trường hợp hồ sơ phức tạp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gia hạn giấy phép hoạt động điện lực theo Mẫu 01 quy định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về việc chuyển giao tài sản, công trình điện hoặc dừng hoạt động của dự án đã được cấp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duy trì điều kiện hoạt động điện lực tính đến thời điểm đề nghị cấp gia hạn giấy phép đối với lĩnh vực tương ứng theo Mẫu 05a, 05b, 05c quy định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Mu05b.docx</w:t>
            </w:r>
          </w:p>
          <w:p>
            <w:pPr>
              <w:spacing w:after="0" w:before="0" w:lineRule="auto" w:line="276"/>
              <w:jc w:val="left"/>
            </w:pPr>
            <w:r>
              <w:rPr>
                <w:rFonts w:ascii="Times New Roman" w:hAnsi="Times New Roman" w:cs="Times New Roman" w:eastAsia="Times New Roman"/>
                <w:b w:val="false"/>
                <w:sz w:val="26"/>
              </w:rPr>
              <w:t>Mu05c.docx</w:t>
            </w:r>
          </w:p>
          <w:p>
            <w:pPr>
              <w:spacing w:after="0" w:before="0" w:lineRule="auto" w:line="276"/>
              <w:jc w:val="left"/>
            </w:pPr>
            <w:r>
              <w:rPr>
                <w:rFonts w:ascii="Times New Roman" w:hAnsi="Times New Roman" w:cs="Times New Roman" w:eastAsia="Times New Roman"/>
                <w:b w:val="false"/>
                <w:sz w:val="26"/>
              </w:rPr>
              <w:t>DMu5a.docx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Quy định tại Chương II Nghị định quy định chi tiết một số điều Luật Điện lực về giấy phép hoạt động điện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2025-11-27T08:45:03Z</dcterms:created>
  <dc:creator>Apache POI</dc:creator>
</cp:coreProperties>
</file>