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1.013643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BR9</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Hồ sơ đăng ký thương nhân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Mus03.docx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thương nhân sản xuất và xuất khẩu các sản phẩm cố định, hồ sơ đề nghị cấp C/O  từ lần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C/O mẫu BR9 đã được khai hoàn chỉnh (theo quy định tại Phụ lục IX ban hành kèm theo Nghị định số 67 ngày 05/11/2018 của Bộ Nông nghiệp Brazil)</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thương nhân đề nghị cấp C/O lần đầu hoặc cho sản phẩm mới xuất khẩu lần đầu hoặc cho sản phẩm không cố định, hồ sơ đề nghị cấp C/O và Đối với thương nhân sản xuất và xuất khẩu các sản phẩm cố định, hồ sơ đề nghị cấp C/O lần đầu: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C/O mẫu BR9 đã được khai hoàn chỉnh (theo quy định tại Phụ lục IX ban hành kèm theo Nghị định số 67 ngày 05/11/2018 của Bộ Nông nghiệp Brazil)</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 được sửa đổi, bổ sung tại Thông tư số 44/2023/TT-BTC ngày 29/12/2023 của Bộ trưởng Bộ Công Thương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 trình sản xuất hàng hóa (có đóng dấu sao y bản chính của thương nhân).  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mẫu BR9</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23/2025/NĐ-CP</w:t>
            </w:r>
          </w:p>
        </w:tc>
        <w:tc>
          <w:p/>
          <w:p>
            <w:pPr>
              <w:spacing w:after="0" w:before="0" w:lineRule="auto" w:line="276"/>
              <w:jc w:val="left"/>
            </w:pPr>
            <w:r>
              <w:rPr>
                <w:rFonts w:ascii="Times New Roman" w:hAnsi="Times New Roman" w:cs="Times New Roman" w:eastAsia="Times New Roman"/>
                <w:b w:val="false"/>
                <w:sz w:val="26"/>
              </w:rPr>
              <w:t>Nghị định số 23/2025/NĐ-CP của Chính phủ: Quy định về chữ ký điện tử và dịch vụ tin cậy</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36/2023/TT-BTC</w:t>
            </w:r>
          </w:p>
        </w:tc>
        <w:tc>
          <w:p/>
          <w:p>
            <w:pPr>
              <w:spacing w:after="0" w:before="0" w:lineRule="auto" w:line="276"/>
              <w:jc w:val="left"/>
            </w:pPr>
            <w:r>
              <w:rPr>
                <w:rFonts w:ascii="Times New Roman" w:hAnsi="Times New Roman" w:cs="Times New Roman" w:eastAsia="Times New Roman"/>
                <w:b w:val="false"/>
                <w:sz w:val="26"/>
              </w:rPr>
              <w:t>Thông tư số 36/2023/TT-BTC ngày 06/6/2023 của Bộ trưởng Bộ Tài chính quy định mức thu, chế độ thu, nộp, quản lý và sử dụng phí chứng nhận xuất xứ hàng hóa (C/O);</w:t>
            </w:r>
          </w:p>
        </w:tc>
        <w:tc>
          <w:p/>
          <w:p>
            <w:pPr>
              <w:spacing w:after="0" w:before="0" w:lineRule="auto" w:line="276"/>
              <w:jc w:val="left"/>
            </w:pPr>
            <w:r>
              <w:rPr>
                <w:rFonts w:ascii="Times New Roman" w:hAnsi="Times New Roman" w:cs="Times New Roman" w:eastAsia="Times New Roman"/>
                <w:b w:val="false"/>
                <w:sz w:val="26"/>
              </w:rPr>
              <w:t>06-06-2023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44/2023/TT-BCT</w:t>
            </w:r>
          </w:p>
        </w:tc>
        <w:tc>
          <w:p/>
          <w:p>
            <w:pPr>
              <w:spacing w:after="0" w:before="0" w:lineRule="auto" w:line="276"/>
              <w:jc w:val="left"/>
            </w:pPr>
            <w:r>
              <w:rPr>
                <w:rFonts w:ascii="Times New Roman" w:hAnsi="Times New Roman" w:cs="Times New Roman" w:eastAsia="Times New Roman"/>
                <w:b w:val="false"/>
                <w:sz w:val="26"/>
              </w:rPr>
              <w:t>Thông tư số 44/2023/TT-BCT ngày 29/12/2023 của Bộ trưởng Bộ Công Thương sửa đổi, bổ sung một số điều của Thông tư số 05/2018/TT-BCT ngày 03/4/2018 của Bộ Công Thương quy định về xuất xứ hàng hóa</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https://thutuc.dichvucong.gov.vn/p/home/dvc-tthc-thu-tuc-hanh-chinh-chi-tiet.html?ma_thu_tuc=380124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2025-11-27T08:45:27Z</dcterms:created>
  <dc:creator>Apache POI</dc:creator>
</cp:coreProperties>
</file>