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14DA" w14:textId="77777777" w:rsidR="00AB5AD7" w:rsidRDefault="009C7023">
      <w:pPr>
        <w:spacing w:after="300" w:line="276" w:lineRule="auto"/>
        <w:jc w:val="center"/>
      </w:pPr>
      <w:r>
        <w:rPr>
          <w:rFonts w:ascii="Times New Roman" w:eastAsia="Times New Roman" w:hAnsi="Times New Roman" w:cs="Times New Roman"/>
          <w:b/>
          <w:sz w:val="26"/>
        </w:rPr>
        <w:t>Chi tiết thủ tục hành chính</w:t>
      </w:r>
    </w:p>
    <w:p w14:paraId="2B75B541" w14:textId="77777777" w:rsidR="00AB5AD7" w:rsidRDefault="009C702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1.013737</w:t>
      </w:r>
    </w:p>
    <w:p w14:paraId="5DB75215" w14:textId="77777777" w:rsidR="00AB5AD7" w:rsidRDefault="009C702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14:paraId="5CD4D6CE" w14:textId="77777777" w:rsidR="00AB5AD7" w:rsidRDefault="009C702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chuyển nhượng quyền lợi tham gia, quyền và nghĩa vụ của nhà thầu trong hợp đồng dầu khí; việc Tập đoàn công nghiệp – Năng lượng Quốc gia Việt Nam thực hiện quyền tham gia, quyền ưu tiên mua trước quyền lợi tham gia, tiếp nhận quyền lợi tham gia trong hợp đồng dầu khí</w:t>
      </w:r>
    </w:p>
    <w:p w14:paraId="6C417B3E" w14:textId="77777777" w:rsidR="00AB5AD7" w:rsidRDefault="009C702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721F4A2" w14:textId="77777777" w:rsidR="00AB5AD7" w:rsidRDefault="009C702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CB2AF1C" w14:textId="77777777" w:rsidR="00AB5AD7" w:rsidRDefault="009C702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Dầu khí</w:t>
      </w:r>
    </w:p>
    <w:p w14:paraId="4DF4B138" w14:textId="77777777" w:rsidR="00AB5AD7" w:rsidRDefault="009C7023">
      <w:pPr>
        <w:spacing w:after="0" w:line="276" w:lineRule="auto"/>
        <w:jc w:val="both"/>
      </w:pPr>
      <w:r>
        <w:rPr>
          <w:rFonts w:ascii="Times New Roman" w:eastAsia="Times New Roman" w:hAnsi="Times New Roman" w:cs="Times New Roman"/>
          <w:b/>
          <w:sz w:val="26"/>
        </w:rPr>
        <w:t xml:space="preserve">Trình tự thực hiện: </w:t>
      </w:r>
    </w:p>
    <w:p w14:paraId="3F3F8856" w14:textId="77777777" w:rsidR="00AB5AD7" w:rsidRDefault="00AB5AD7">
      <w:pPr>
        <w:shd w:val="clear" w:color="auto" w:fill="F2F6F9"/>
        <w:spacing w:before="120" w:after="0" w:line="276" w:lineRule="auto"/>
        <w:jc w:val="both"/>
      </w:pPr>
    </w:p>
    <w:p w14:paraId="035E20AA" w14:textId="77777777" w:rsidR="00AB5AD7" w:rsidRDefault="009C7023">
      <w:pPr>
        <w:spacing w:after="0" w:line="276" w:lineRule="auto"/>
        <w:jc w:val="both"/>
      </w:pPr>
      <w:r>
        <w:rPr>
          <w:rFonts w:ascii="Times New Roman" w:eastAsia="Times New Roman" w:hAnsi="Times New Roman" w:cs="Times New Roman"/>
          <w:sz w:val="26"/>
        </w:rPr>
        <w:t>3.1. Trình tự thực hiện: Căn cứ quy định tại khoản 1 Điều 36 Luật Dầu khí năm 2022, trên cơ sở đề nghị của nhà thầu được PVN thông qua, PVN trình Bộ Công Thương hồ sơ đề nghị phê duyệt chuyển nhượng quyền và nghĩa vụ trong hợp đồng dầu khí để thẩm định; hoặc Căn cứ quy định tại khoản 1, khoản 2 Điều 39 Luật Dầu khí năm 2022, trên cơ sở các điều kiện được thỏa thuận giữa nhà thầu và PVN, PVN trình Bộ Công Thương hồ sơ đề nghị phê duyệt thực hiện quyền tham gia vào hợp đồng dầu khí hoặc quyền ưu tiên mua trướ</w:t>
      </w:r>
      <w:r>
        <w:rPr>
          <w:rFonts w:ascii="Times New Roman" w:eastAsia="Times New Roman" w:hAnsi="Times New Roman" w:cs="Times New Roman"/>
          <w:sz w:val="26"/>
        </w:rPr>
        <w:t>c quyền lợi tham gia mà nhà thầu có ý định chuyển nhượng trong hợp đồng dầu khí đã được ký kết hoặc tiếp nhận toàn bộ quyền lợi của nhà thầu trong trường hợp nhà thầu quyết định rút khỏi hợp đồng dầu khí vì lý do đặc biệt. b) Trong thời hạn 05 ngày làm việc kể từ ngày nhận được hồ sơ hợp lệ, Bộ Công Thương gửi hồ sơ lấy ý kiến của Bộ Tài chính, Bộ Tư pháp, Bộ Quốc phòng, Bộ Ngoại giao, Bộ Công an và các bộ, ngành có liên quan. c) Trong thời hạn 15 ngày kể từ ngày nhận được hồ sơ lấy ý kiến của Bộ Công Thươn</w:t>
      </w:r>
      <w:r>
        <w:rPr>
          <w:rFonts w:ascii="Times New Roman" w:eastAsia="Times New Roman" w:hAnsi="Times New Roman" w:cs="Times New Roman"/>
          <w:sz w:val="26"/>
        </w:rPr>
        <w:t>g, các bộ, ngành phải có ý kiến bằng văn bản về nội dung thuộc phạm vi quản lý nhà nước của mình gửi Bộ Công Thương.  d) Trong thời hạn 45 ngày kể từ ngày nhận được hồ sơ hợp lệ, Bộ Công Thương hoàn thành thẩm định và phê duyệt. e) Trong thời hạn 05 ngày làm việc kể từ khi Bộ Công Thương phê duyệt việc chuyển nhượng quyền và nghĩa vụ trong hợp đồng dầu khí hoặc việc thực hiện quyền tham gia hoặc quyền ưu tiên mua trước quyền lợi tham gia hoặc tiếp nhận quyền lợi tham gia trong hợp đồng dầu khí của PVN, Bộ C</w:t>
      </w:r>
      <w:r>
        <w:rPr>
          <w:rFonts w:ascii="Times New Roman" w:eastAsia="Times New Roman" w:hAnsi="Times New Roman" w:cs="Times New Roman"/>
          <w:sz w:val="26"/>
        </w:rPr>
        <w:t>ông Thương cấp giấy chứng nhận đăng ký đầu tư điều chỉnh cho nhà thầu và PVN, đồng thời gửi bản chính đến Bộ Tài chính, Bộ Tư pháp và cơ quan thuế.</w:t>
      </w:r>
    </w:p>
    <w:p w14:paraId="4D17CFEE" w14:textId="77777777" w:rsidR="00AB5AD7" w:rsidRDefault="009C702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08"/>
        <w:gridCol w:w="1450"/>
        <w:gridCol w:w="2270"/>
        <w:gridCol w:w="4283"/>
      </w:tblGrid>
      <w:tr w:rsidR="00AB5AD7" w14:paraId="20AE8C7F" w14:textId="77777777">
        <w:tblPrEx>
          <w:tblCellMar>
            <w:top w:w="0" w:type="dxa"/>
            <w:bottom w:w="0" w:type="dxa"/>
          </w:tblCellMar>
        </w:tblPrEx>
        <w:tc>
          <w:tcPr>
            <w:tcW w:w="1500" w:type="dxa"/>
          </w:tcPr>
          <w:p w14:paraId="2590C3D1" w14:textId="77777777" w:rsidR="00AB5AD7" w:rsidRDefault="00AB5AD7"/>
          <w:p w14:paraId="3DB4E10C" w14:textId="77777777" w:rsidR="00AB5AD7" w:rsidRDefault="009C7023">
            <w:pPr>
              <w:spacing w:after="0" w:line="276" w:lineRule="auto"/>
              <w:jc w:val="center"/>
            </w:pPr>
            <w:r>
              <w:rPr>
                <w:rFonts w:ascii="Times New Roman" w:eastAsia="Times New Roman" w:hAnsi="Times New Roman" w:cs="Times New Roman"/>
                <w:b/>
                <w:sz w:val="26"/>
              </w:rPr>
              <w:t>Hình thức nộp</w:t>
            </w:r>
          </w:p>
        </w:tc>
        <w:tc>
          <w:tcPr>
            <w:tcW w:w="2000" w:type="dxa"/>
          </w:tcPr>
          <w:p w14:paraId="5F2A6512" w14:textId="77777777" w:rsidR="00AB5AD7" w:rsidRDefault="00AB5AD7"/>
          <w:p w14:paraId="787449F7" w14:textId="77777777" w:rsidR="00AB5AD7" w:rsidRDefault="009C702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0466E30" w14:textId="77777777" w:rsidR="00AB5AD7" w:rsidRDefault="00AB5AD7"/>
          <w:p w14:paraId="48FDD8D1" w14:textId="77777777" w:rsidR="00AB5AD7" w:rsidRDefault="009C7023">
            <w:pPr>
              <w:spacing w:after="0" w:line="276" w:lineRule="auto"/>
              <w:jc w:val="center"/>
            </w:pPr>
            <w:r>
              <w:rPr>
                <w:rFonts w:ascii="Times New Roman" w:eastAsia="Times New Roman" w:hAnsi="Times New Roman" w:cs="Times New Roman"/>
                <w:b/>
                <w:sz w:val="26"/>
              </w:rPr>
              <w:t>Phí, lệ phí</w:t>
            </w:r>
          </w:p>
        </w:tc>
        <w:tc>
          <w:tcPr>
            <w:tcW w:w="3000" w:type="dxa"/>
          </w:tcPr>
          <w:p w14:paraId="4D73984D" w14:textId="77777777" w:rsidR="00AB5AD7" w:rsidRDefault="00AB5AD7"/>
          <w:p w14:paraId="66A69BA9" w14:textId="77777777" w:rsidR="00AB5AD7" w:rsidRDefault="009C7023">
            <w:pPr>
              <w:spacing w:after="0" w:line="276" w:lineRule="auto"/>
              <w:jc w:val="center"/>
            </w:pPr>
            <w:r>
              <w:rPr>
                <w:rFonts w:ascii="Times New Roman" w:eastAsia="Times New Roman" w:hAnsi="Times New Roman" w:cs="Times New Roman"/>
                <w:b/>
                <w:sz w:val="26"/>
              </w:rPr>
              <w:t>Mô tả</w:t>
            </w:r>
          </w:p>
        </w:tc>
      </w:tr>
      <w:tr w:rsidR="00AB5AD7" w14:paraId="01F8F124" w14:textId="77777777">
        <w:tblPrEx>
          <w:tblCellMar>
            <w:top w:w="0" w:type="dxa"/>
            <w:bottom w:w="0" w:type="dxa"/>
          </w:tblCellMar>
        </w:tblPrEx>
        <w:tc>
          <w:tcPr>
            <w:tcW w:w="0" w:type="auto"/>
          </w:tcPr>
          <w:p w14:paraId="63509F67" w14:textId="77777777" w:rsidR="00AB5AD7" w:rsidRDefault="00AB5AD7"/>
          <w:p w14:paraId="27002642" w14:textId="77777777" w:rsidR="00AB5AD7" w:rsidRDefault="009C7023">
            <w:pPr>
              <w:spacing w:after="0" w:line="276" w:lineRule="auto"/>
            </w:pPr>
            <w:r>
              <w:rPr>
                <w:rFonts w:ascii="Times New Roman" w:eastAsia="Times New Roman" w:hAnsi="Times New Roman" w:cs="Times New Roman"/>
                <w:sz w:val="26"/>
              </w:rPr>
              <w:t>Trực tiếp</w:t>
            </w:r>
          </w:p>
        </w:tc>
        <w:tc>
          <w:tcPr>
            <w:tcW w:w="0" w:type="auto"/>
          </w:tcPr>
          <w:p w14:paraId="4BC884C6" w14:textId="77777777" w:rsidR="00AB5AD7" w:rsidRDefault="00AB5AD7"/>
          <w:p w14:paraId="669A6EC1" w14:textId="77777777" w:rsidR="00AB5AD7" w:rsidRDefault="009C7023">
            <w:pPr>
              <w:spacing w:after="0" w:line="276" w:lineRule="auto"/>
            </w:pPr>
            <w:r>
              <w:rPr>
                <w:rFonts w:ascii="Times New Roman" w:eastAsia="Times New Roman" w:hAnsi="Times New Roman" w:cs="Times New Roman"/>
                <w:sz w:val="26"/>
              </w:rPr>
              <w:t>5 Ngày làm việc</w:t>
            </w:r>
          </w:p>
        </w:tc>
        <w:tc>
          <w:tcPr>
            <w:tcW w:w="0" w:type="auto"/>
          </w:tcPr>
          <w:p w14:paraId="4D97BF40" w14:textId="77777777" w:rsidR="00AB5AD7" w:rsidRDefault="00AB5AD7"/>
          <w:p w14:paraId="5190CB9F" w14:textId="77777777" w:rsidR="00AB5AD7" w:rsidRDefault="00AB5AD7">
            <w:pPr>
              <w:spacing w:after="0" w:line="276" w:lineRule="auto"/>
            </w:pPr>
          </w:p>
        </w:tc>
        <w:tc>
          <w:tcPr>
            <w:tcW w:w="0" w:type="auto"/>
          </w:tcPr>
          <w:p w14:paraId="3AE076A4" w14:textId="77777777" w:rsidR="00AB5AD7" w:rsidRDefault="00AB5AD7"/>
          <w:p w14:paraId="50345049" w14:textId="77777777" w:rsidR="00AB5AD7" w:rsidRDefault="009C7023">
            <w:pPr>
              <w:spacing w:after="0" w:line="276" w:lineRule="auto"/>
            </w:pPr>
            <w:r>
              <w:rPr>
                <w:rFonts w:ascii="Times New Roman" w:eastAsia="Times New Roman" w:hAnsi="Times New Roman" w:cs="Times New Roman"/>
                <w:sz w:val="26"/>
              </w:rPr>
              <w:t>05 ngày làm việc kể từ ngày hoàn thành thẩm định và phê duyệt.</w:t>
            </w:r>
          </w:p>
        </w:tc>
      </w:tr>
      <w:tr w:rsidR="00AB5AD7" w14:paraId="21F235EF" w14:textId="77777777">
        <w:tblPrEx>
          <w:tblCellMar>
            <w:top w:w="0" w:type="dxa"/>
            <w:bottom w:w="0" w:type="dxa"/>
          </w:tblCellMar>
        </w:tblPrEx>
        <w:tc>
          <w:tcPr>
            <w:tcW w:w="0" w:type="auto"/>
          </w:tcPr>
          <w:p w14:paraId="4647A5C7" w14:textId="77777777" w:rsidR="00AB5AD7" w:rsidRDefault="00AB5AD7"/>
          <w:p w14:paraId="45AFA9DF" w14:textId="77777777" w:rsidR="00AB5AD7" w:rsidRDefault="009C7023">
            <w:pPr>
              <w:spacing w:after="0" w:line="276" w:lineRule="auto"/>
            </w:pPr>
            <w:r>
              <w:rPr>
                <w:rFonts w:ascii="Times New Roman" w:eastAsia="Times New Roman" w:hAnsi="Times New Roman" w:cs="Times New Roman"/>
                <w:sz w:val="26"/>
              </w:rPr>
              <w:t>Trực tuyến</w:t>
            </w:r>
          </w:p>
        </w:tc>
        <w:tc>
          <w:tcPr>
            <w:tcW w:w="0" w:type="auto"/>
          </w:tcPr>
          <w:p w14:paraId="7F14B40A" w14:textId="77777777" w:rsidR="00AB5AD7" w:rsidRDefault="00AB5AD7"/>
          <w:p w14:paraId="584BD047" w14:textId="77777777" w:rsidR="00AB5AD7" w:rsidRDefault="009C7023">
            <w:pPr>
              <w:spacing w:after="0" w:line="276" w:lineRule="auto"/>
            </w:pPr>
            <w:r>
              <w:rPr>
                <w:rFonts w:ascii="Times New Roman" w:eastAsia="Times New Roman" w:hAnsi="Times New Roman" w:cs="Times New Roman"/>
                <w:sz w:val="26"/>
              </w:rPr>
              <w:t>5 Ngày làm việc</w:t>
            </w:r>
          </w:p>
        </w:tc>
        <w:tc>
          <w:tcPr>
            <w:tcW w:w="0" w:type="auto"/>
          </w:tcPr>
          <w:p w14:paraId="6F821C51" w14:textId="77777777" w:rsidR="00AB5AD7" w:rsidRDefault="00AB5AD7"/>
          <w:p w14:paraId="6D85382C" w14:textId="77777777" w:rsidR="00AB5AD7" w:rsidRDefault="00AB5AD7">
            <w:pPr>
              <w:spacing w:after="0" w:line="276" w:lineRule="auto"/>
            </w:pPr>
          </w:p>
        </w:tc>
        <w:tc>
          <w:tcPr>
            <w:tcW w:w="0" w:type="auto"/>
          </w:tcPr>
          <w:p w14:paraId="2AC8EDCA" w14:textId="77777777" w:rsidR="00AB5AD7" w:rsidRDefault="00AB5AD7"/>
          <w:p w14:paraId="79573752" w14:textId="77777777" w:rsidR="00AB5AD7" w:rsidRDefault="009C7023">
            <w:pPr>
              <w:spacing w:after="0" w:line="276" w:lineRule="auto"/>
            </w:pPr>
            <w:r>
              <w:rPr>
                <w:rFonts w:ascii="Times New Roman" w:eastAsia="Times New Roman" w:hAnsi="Times New Roman" w:cs="Times New Roman"/>
                <w:sz w:val="26"/>
              </w:rPr>
              <w:t>05 ngày làm việc kể từ ngày hoàn thành thẩm định và phê duyệt.</w:t>
            </w:r>
          </w:p>
        </w:tc>
      </w:tr>
      <w:tr w:rsidR="00AB5AD7" w14:paraId="66F12BBD" w14:textId="77777777">
        <w:tblPrEx>
          <w:tblCellMar>
            <w:top w:w="0" w:type="dxa"/>
            <w:bottom w:w="0" w:type="dxa"/>
          </w:tblCellMar>
        </w:tblPrEx>
        <w:tc>
          <w:tcPr>
            <w:tcW w:w="0" w:type="auto"/>
          </w:tcPr>
          <w:p w14:paraId="640BD016" w14:textId="77777777" w:rsidR="00AB5AD7" w:rsidRDefault="00AB5AD7"/>
          <w:p w14:paraId="343ADA06" w14:textId="77777777" w:rsidR="00AB5AD7" w:rsidRDefault="009C7023">
            <w:pPr>
              <w:spacing w:after="0" w:line="276" w:lineRule="auto"/>
            </w:pPr>
            <w:r>
              <w:rPr>
                <w:rFonts w:ascii="Times New Roman" w:eastAsia="Times New Roman" w:hAnsi="Times New Roman" w:cs="Times New Roman"/>
                <w:sz w:val="26"/>
              </w:rPr>
              <w:t>Dịch vụ bưu chính</w:t>
            </w:r>
          </w:p>
        </w:tc>
        <w:tc>
          <w:tcPr>
            <w:tcW w:w="0" w:type="auto"/>
          </w:tcPr>
          <w:p w14:paraId="50CADF96" w14:textId="77777777" w:rsidR="00AB5AD7" w:rsidRDefault="00AB5AD7"/>
          <w:p w14:paraId="11F05B4E" w14:textId="77777777" w:rsidR="00AB5AD7" w:rsidRDefault="009C7023">
            <w:pPr>
              <w:spacing w:after="0" w:line="276" w:lineRule="auto"/>
            </w:pPr>
            <w:r>
              <w:rPr>
                <w:rFonts w:ascii="Times New Roman" w:eastAsia="Times New Roman" w:hAnsi="Times New Roman" w:cs="Times New Roman"/>
                <w:sz w:val="26"/>
              </w:rPr>
              <w:t>5 Ngày làm việc</w:t>
            </w:r>
          </w:p>
        </w:tc>
        <w:tc>
          <w:tcPr>
            <w:tcW w:w="0" w:type="auto"/>
          </w:tcPr>
          <w:p w14:paraId="4CEB82B2" w14:textId="77777777" w:rsidR="00AB5AD7" w:rsidRDefault="00AB5AD7"/>
          <w:p w14:paraId="0201CBD2" w14:textId="77777777" w:rsidR="00AB5AD7" w:rsidRDefault="00AB5AD7">
            <w:pPr>
              <w:spacing w:after="0" w:line="276" w:lineRule="auto"/>
            </w:pPr>
          </w:p>
        </w:tc>
        <w:tc>
          <w:tcPr>
            <w:tcW w:w="0" w:type="auto"/>
          </w:tcPr>
          <w:p w14:paraId="19F4F302" w14:textId="77777777" w:rsidR="00AB5AD7" w:rsidRDefault="00AB5AD7"/>
          <w:p w14:paraId="651B64A6" w14:textId="77777777" w:rsidR="00AB5AD7" w:rsidRDefault="009C7023">
            <w:pPr>
              <w:spacing w:after="0" w:line="276" w:lineRule="auto"/>
            </w:pPr>
            <w:r>
              <w:rPr>
                <w:rFonts w:ascii="Times New Roman" w:eastAsia="Times New Roman" w:hAnsi="Times New Roman" w:cs="Times New Roman"/>
                <w:sz w:val="26"/>
              </w:rPr>
              <w:t>05 ngày làm việc kể từ ngày hoàn thành thẩm định và phê duyệt.</w:t>
            </w:r>
          </w:p>
        </w:tc>
      </w:tr>
    </w:tbl>
    <w:p w14:paraId="4D27E007" w14:textId="77777777" w:rsidR="00AB5AD7" w:rsidRDefault="009C7023">
      <w:pPr>
        <w:spacing w:before="240" w:after="0" w:line="276" w:lineRule="auto"/>
        <w:jc w:val="both"/>
      </w:pPr>
      <w:r>
        <w:rPr>
          <w:rFonts w:ascii="Times New Roman" w:eastAsia="Times New Roman" w:hAnsi="Times New Roman" w:cs="Times New Roman"/>
          <w:b/>
          <w:sz w:val="26"/>
        </w:rPr>
        <w:t xml:space="preserve">Thành phần hồ sơ: </w:t>
      </w:r>
    </w:p>
    <w:p w14:paraId="0DCA5BBD" w14:textId="77777777" w:rsidR="00AB5AD7" w:rsidRDefault="009C702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9"/>
        <w:gridCol w:w="860"/>
        <w:gridCol w:w="962"/>
      </w:tblGrid>
      <w:tr w:rsidR="00AB5AD7" w14:paraId="5AB3B4AE" w14:textId="77777777">
        <w:tblPrEx>
          <w:tblCellMar>
            <w:top w:w="0" w:type="dxa"/>
            <w:bottom w:w="0" w:type="dxa"/>
          </w:tblCellMar>
        </w:tblPrEx>
        <w:tc>
          <w:tcPr>
            <w:tcW w:w="6000" w:type="dxa"/>
          </w:tcPr>
          <w:p w14:paraId="272E2A6B" w14:textId="77777777" w:rsidR="00AB5AD7" w:rsidRDefault="00AB5AD7"/>
          <w:p w14:paraId="311E0CA9" w14:textId="77777777" w:rsidR="00AB5AD7" w:rsidRDefault="009C7023">
            <w:pPr>
              <w:spacing w:after="0" w:line="276" w:lineRule="auto"/>
              <w:jc w:val="center"/>
            </w:pPr>
            <w:r>
              <w:rPr>
                <w:rFonts w:ascii="Times New Roman" w:eastAsia="Times New Roman" w:hAnsi="Times New Roman" w:cs="Times New Roman"/>
                <w:b/>
                <w:sz w:val="26"/>
              </w:rPr>
              <w:t>Tên giấy tờ</w:t>
            </w:r>
          </w:p>
        </w:tc>
        <w:tc>
          <w:tcPr>
            <w:tcW w:w="2000" w:type="dxa"/>
          </w:tcPr>
          <w:p w14:paraId="68D8754D" w14:textId="77777777" w:rsidR="00AB5AD7" w:rsidRDefault="00AB5AD7"/>
          <w:p w14:paraId="5318F6DE" w14:textId="77777777" w:rsidR="00AB5AD7" w:rsidRDefault="009C7023">
            <w:pPr>
              <w:spacing w:after="0" w:line="276" w:lineRule="auto"/>
              <w:jc w:val="center"/>
            </w:pPr>
            <w:r>
              <w:rPr>
                <w:rFonts w:ascii="Times New Roman" w:eastAsia="Times New Roman" w:hAnsi="Times New Roman" w:cs="Times New Roman"/>
                <w:b/>
                <w:sz w:val="26"/>
              </w:rPr>
              <w:t>Mẫu đơn, tờ khai</w:t>
            </w:r>
          </w:p>
        </w:tc>
        <w:tc>
          <w:tcPr>
            <w:tcW w:w="2000" w:type="dxa"/>
          </w:tcPr>
          <w:p w14:paraId="7FC39210" w14:textId="77777777" w:rsidR="00AB5AD7" w:rsidRDefault="00AB5AD7"/>
          <w:p w14:paraId="0CC773D7" w14:textId="77777777" w:rsidR="00AB5AD7" w:rsidRDefault="009C7023">
            <w:pPr>
              <w:spacing w:after="0" w:line="276" w:lineRule="auto"/>
              <w:jc w:val="center"/>
            </w:pPr>
            <w:r>
              <w:rPr>
                <w:rFonts w:ascii="Times New Roman" w:eastAsia="Times New Roman" w:hAnsi="Times New Roman" w:cs="Times New Roman"/>
                <w:b/>
                <w:sz w:val="26"/>
              </w:rPr>
              <w:t>Số lượng</w:t>
            </w:r>
          </w:p>
        </w:tc>
      </w:tr>
      <w:tr w:rsidR="00AB5AD7" w14:paraId="02268D20" w14:textId="77777777">
        <w:tblPrEx>
          <w:tblCellMar>
            <w:top w:w="0" w:type="dxa"/>
            <w:bottom w:w="0" w:type="dxa"/>
          </w:tblCellMar>
        </w:tblPrEx>
        <w:tc>
          <w:tcPr>
            <w:tcW w:w="0" w:type="auto"/>
          </w:tcPr>
          <w:p w14:paraId="3B274C2E" w14:textId="77777777" w:rsidR="00AB5AD7" w:rsidRDefault="00AB5AD7"/>
          <w:p w14:paraId="6DA259CC" w14:textId="77777777" w:rsidR="00AB5AD7" w:rsidRDefault="009C7023">
            <w:pPr>
              <w:spacing w:after="0" w:line="276" w:lineRule="auto"/>
            </w:pPr>
            <w:r>
              <w:rPr>
                <w:rFonts w:ascii="Times New Roman" w:eastAsia="Times New Roman" w:hAnsi="Times New Roman" w:cs="Times New Roman"/>
                <w:sz w:val="26"/>
              </w:rPr>
              <w:t>3.3.1. Hồ sơ đề nghị phê duyệt chuyển nhượng quyền lợi tham gia quyền và nghĩa vụ trong hợp đồng dầu khí gồm:</w:t>
            </w:r>
          </w:p>
        </w:tc>
        <w:tc>
          <w:tcPr>
            <w:tcW w:w="0" w:type="auto"/>
          </w:tcPr>
          <w:p w14:paraId="085BE631" w14:textId="77777777" w:rsidR="00AB5AD7" w:rsidRDefault="00AB5AD7"/>
        </w:tc>
        <w:tc>
          <w:tcPr>
            <w:tcW w:w="0" w:type="auto"/>
          </w:tcPr>
          <w:p w14:paraId="489A9BAD" w14:textId="77777777" w:rsidR="00AB5AD7" w:rsidRDefault="00AB5AD7"/>
          <w:p w14:paraId="6E530653" w14:textId="77777777" w:rsidR="00AB5AD7" w:rsidRDefault="009C702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AB5AD7" w14:paraId="33CF3CC4" w14:textId="77777777">
        <w:tblPrEx>
          <w:tblCellMar>
            <w:top w:w="0" w:type="dxa"/>
            <w:bottom w:w="0" w:type="dxa"/>
          </w:tblCellMar>
        </w:tblPrEx>
        <w:tc>
          <w:tcPr>
            <w:tcW w:w="0" w:type="auto"/>
          </w:tcPr>
          <w:p w14:paraId="1C00B88E" w14:textId="77777777" w:rsidR="00AB5AD7" w:rsidRDefault="00AB5AD7"/>
          <w:p w14:paraId="62B4CE57" w14:textId="77777777" w:rsidR="00AB5AD7" w:rsidRDefault="009C7023">
            <w:pPr>
              <w:spacing w:after="0" w:line="276" w:lineRule="auto"/>
            </w:pPr>
            <w:r>
              <w:rPr>
                <w:rFonts w:ascii="Times New Roman" w:eastAsia="Times New Roman" w:hAnsi="Times New Roman" w:cs="Times New Roman"/>
                <w:sz w:val="26"/>
              </w:rPr>
              <w:t>a) Văn bản đề nghị phê duyệt chuyển nhượng quyền và nghĩa vụ trong hợp đồng dầu khí và cấp giấy chứng nhận đăng ký đầu tư điều chỉnh, trong đó nêu rõ lý do và việc đáp ứng điều kiện tại khoản 1 Điều 36 Luật Dầu khí năm 2022;</w:t>
            </w:r>
          </w:p>
        </w:tc>
        <w:tc>
          <w:tcPr>
            <w:tcW w:w="0" w:type="auto"/>
          </w:tcPr>
          <w:p w14:paraId="4D5CDDA2" w14:textId="77777777" w:rsidR="00AB5AD7" w:rsidRDefault="00AB5AD7"/>
        </w:tc>
        <w:tc>
          <w:tcPr>
            <w:tcW w:w="0" w:type="auto"/>
          </w:tcPr>
          <w:p w14:paraId="7EAF7D9E" w14:textId="77777777" w:rsidR="00AB5AD7" w:rsidRDefault="00AB5AD7"/>
          <w:p w14:paraId="2D731A93"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199C3AD6" w14:textId="77777777">
        <w:tblPrEx>
          <w:tblCellMar>
            <w:top w:w="0" w:type="dxa"/>
            <w:bottom w:w="0" w:type="dxa"/>
          </w:tblCellMar>
        </w:tblPrEx>
        <w:tc>
          <w:tcPr>
            <w:tcW w:w="0" w:type="auto"/>
          </w:tcPr>
          <w:p w14:paraId="305AE9FF" w14:textId="77777777" w:rsidR="00AB5AD7" w:rsidRDefault="00AB5AD7"/>
          <w:p w14:paraId="2ACF975B" w14:textId="77777777" w:rsidR="00AB5AD7" w:rsidRDefault="009C7023">
            <w:pPr>
              <w:spacing w:after="0" w:line="276" w:lineRule="auto"/>
            </w:pPr>
            <w:r>
              <w:rPr>
                <w:rFonts w:ascii="Times New Roman" w:eastAsia="Times New Roman" w:hAnsi="Times New Roman" w:cs="Times New Roman"/>
                <w:sz w:val="26"/>
              </w:rPr>
              <w:t>b) Đánh  giá của PVN về đề xuất của nhà thầu; văn bản tiếp thu, giải trình của nhà thầu (nếu có);</w:t>
            </w:r>
          </w:p>
        </w:tc>
        <w:tc>
          <w:tcPr>
            <w:tcW w:w="0" w:type="auto"/>
          </w:tcPr>
          <w:p w14:paraId="78EE4EFA" w14:textId="77777777" w:rsidR="00AB5AD7" w:rsidRDefault="00AB5AD7"/>
        </w:tc>
        <w:tc>
          <w:tcPr>
            <w:tcW w:w="0" w:type="auto"/>
          </w:tcPr>
          <w:p w14:paraId="6958D39D" w14:textId="77777777" w:rsidR="00AB5AD7" w:rsidRDefault="00AB5AD7"/>
          <w:p w14:paraId="0FBB258D"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47F57068" w14:textId="77777777">
        <w:tblPrEx>
          <w:tblCellMar>
            <w:top w:w="0" w:type="dxa"/>
            <w:bottom w:w="0" w:type="dxa"/>
          </w:tblCellMar>
        </w:tblPrEx>
        <w:tc>
          <w:tcPr>
            <w:tcW w:w="0" w:type="auto"/>
          </w:tcPr>
          <w:p w14:paraId="1989E874" w14:textId="77777777" w:rsidR="00AB5AD7" w:rsidRDefault="00AB5AD7"/>
          <w:p w14:paraId="5AA77345" w14:textId="77777777" w:rsidR="00AB5AD7" w:rsidRDefault="009C7023">
            <w:pPr>
              <w:spacing w:after="0" w:line="276" w:lineRule="auto"/>
            </w:pPr>
            <w:r>
              <w:rPr>
                <w:rFonts w:ascii="Times New Roman" w:eastAsia="Times New Roman" w:hAnsi="Times New Roman" w:cs="Times New Roman"/>
                <w:sz w:val="26"/>
              </w:rPr>
              <w:t xml:space="preserve">c) Bản sao có chứng thực giấy chứng nhận đăng ký hoạt động, điều lệ công ty và báo cáo tài chính 03 năm gần nhất của bên nhận chuyển nhượng là tổ chức; bản sao có chứng thực giấy chứng minh nhân dân </w:t>
            </w:r>
            <w:r>
              <w:rPr>
                <w:rFonts w:ascii="Times New Roman" w:eastAsia="Times New Roman" w:hAnsi="Times New Roman" w:cs="Times New Roman"/>
                <w:sz w:val="26"/>
              </w:rPr>
              <w:lastRenderedPageBreak/>
              <w:t>hoặc căn cước công dân hoặc hộ chiếu và tài liệu chứng minh khả năng tài chính đối với bên nhận chuyển nhượng là cá nhân;</w:t>
            </w:r>
          </w:p>
        </w:tc>
        <w:tc>
          <w:tcPr>
            <w:tcW w:w="0" w:type="auto"/>
          </w:tcPr>
          <w:p w14:paraId="64FE02B1" w14:textId="77777777" w:rsidR="00AB5AD7" w:rsidRDefault="00AB5AD7"/>
        </w:tc>
        <w:tc>
          <w:tcPr>
            <w:tcW w:w="0" w:type="auto"/>
          </w:tcPr>
          <w:p w14:paraId="7FBA3E54" w14:textId="77777777" w:rsidR="00AB5AD7" w:rsidRDefault="00AB5AD7"/>
          <w:p w14:paraId="26F60A4A"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r w:rsidR="00AB5AD7" w14:paraId="098EB95B" w14:textId="77777777">
        <w:tblPrEx>
          <w:tblCellMar>
            <w:top w:w="0" w:type="dxa"/>
            <w:bottom w:w="0" w:type="dxa"/>
          </w:tblCellMar>
        </w:tblPrEx>
        <w:tc>
          <w:tcPr>
            <w:tcW w:w="0" w:type="auto"/>
          </w:tcPr>
          <w:p w14:paraId="2DE6101D" w14:textId="77777777" w:rsidR="00AB5AD7" w:rsidRDefault="00AB5AD7"/>
          <w:p w14:paraId="6E04E334" w14:textId="77777777" w:rsidR="00AB5AD7" w:rsidRDefault="009C7023">
            <w:pPr>
              <w:spacing w:after="0" w:line="276" w:lineRule="auto"/>
            </w:pPr>
            <w:r>
              <w:rPr>
                <w:rFonts w:ascii="Times New Roman" w:eastAsia="Times New Roman" w:hAnsi="Times New Roman" w:cs="Times New Roman"/>
                <w:sz w:val="26"/>
              </w:rPr>
              <w:t>d) Hợp đồng hoặc thỏa thuận chuyển nhượng quyền và nghĩa vụ trong hợp đồng dầu khí, trong đó quy định cụ thể về trách nhiệm thực hiện nghĩa vụ thuế chuyển nhượng của các bên liên quan và các nghĩa vụ tài chính khác theo quy định của pháp luật Việt Nam;</w:t>
            </w:r>
          </w:p>
        </w:tc>
        <w:tc>
          <w:tcPr>
            <w:tcW w:w="0" w:type="auto"/>
          </w:tcPr>
          <w:p w14:paraId="4C8D2459" w14:textId="77777777" w:rsidR="00AB5AD7" w:rsidRDefault="00AB5AD7"/>
        </w:tc>
        <w:tc>
          <w:tcPr>
            <w:tcW w:w="0" w:type="auto"/>
          </w:tcPr>
          <w:p w14:paraId="5DB837E2" w14:textId="77777777" w:rsidR="00AB5AD7" w:rsidRDefault="00AB5AD7"/>
          <w:p w14:paraId="7F44B2DD"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0CA1E72A" w14:textId="77777777">
        <w:tblPrEx>
          <w:tblCellMar>
            <w:top w:w="0" w:type="dxa"/>
            <w:bottom w:w="0" w:type="dxa"/>
          </w:tblCellMar>
        </w:tblPrEx>
        <w:tc>
          <w:tcPr>
            <w:tcW w:w="0" w:type="auto"/>
          </w:tcPr>
          <w:p w14:paraId="43698F48" w14:textId="77777777" w:rsidR="00AB5AD7" w:rsidRDefault="00AB5AD7"/>
          <w:p w14:paraId="43AA91FA" w14:textId="77777777" w:rsidR="00AB5AD7" w:rsidRDefault="009C7023">
            <w:pPr>
              <w:spacing w:after="0" w:line="276" w:lineRule="auto"/>
            </w:pPr>
            <w:r>
              <w:rPr>
                <w:rFonts w:ascii="Times New Roman" w:eastAsia="Times New Roman" w:hAnsi="Times New Roman" w:cs="Times New Roman"/>
                <w:sz w:val="26"/>
              </w:rPr>
              <w:t>đ) Thỏa thuận sửa đổi hợp đồng dầu khí đã được thống nhất giữa PVN và nhà thầu;</w:t>
            </w:r>
          </w:p>
        </w:tc>
        <w:tc>
          <w:tcPr>
            <w:tcW w:w="0" w:type="auto"/>
          </w:tcPr>
          <w:p w14:paraId="01AEEEFA" w14:textId="77777777" w:rsidR="00AB5AD7" w:rsidRDefault="00AB5AD7"/>
        </w:tc>
        <w:tc>
          <w:tcPr>
            <w:tcW w:w="0" w:type="auto"/>
          </w:tcPr>
          <w:p w14:paraId="2F12A76A" w14:textId="77777777" w:rsidR="00AB5AD7" w:rsidRDefault="00AB5AD7"/>
          <w:p w14:paraId="79AD68FF"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1B2FAD58" w14:textId="77777777">
        <w:tblPrEx>
          <w:tblCellMar>
            <w:top w:w="0" w:type="dxa"/>
            <w:bottom w:w="0" w:type="dxa"/>
          </w:tblCellMar>
        </w:tblPrEx>
        <w:tc>
          <w:tcPr>
            <w:tcW w:w="0" w:type="auto"/>
          </w:tcPr>
          <w:p w14:paraId="3A2DF8B8" w14:textId="77777777" w:rsidR="00AB5AD7" w:rsidRDefault="00AB5AD7"/>
          <w:p w14:paraId="10AB891B" w14:textId="77777777" w:rsidR="00AB5AD7" w:rsidRDefault="009C7023">
            <w:pPr>
              <w:spacing w:after="0" w:line="276" w:lineRule="auto"/>
            </w:pPr>
            <w:r>
              <w:rPr>
                <w:rFonts w:ascii="Times New Roman" w:eastAsia="Times New Roman" w:hAnsi="Times New Roman" w:cs="Times New Roman"/>
                <w:sz w:val="26"/>
              </w:rPr>
              <w:t>e) Bảo lãnh thực hiện nghĩa vụ hợp đồng của bên nhận chuyển nhượng quyền lợi tham gia trong hợp đồng dầu khí do ngân hàng thương mại phát hành hoặc bảo lãnh của công ty mẹ của bên nhận chuyển nhượng hoặc hình thức bảo lãnh khác theo yêu cầu của PVN (nếu cần thiết trên cơ sở đánh giá báo cáo tài chính);</w:t>
            </w:r>
          </w:p>
        </w:tc>
        <w:tc>
          <w:tcPr>
            <w:tcW w:w="0" w:type="auto"/>
          </w:tcPr>
          <w:p w14:paraId="1FB7979E" w14:textId="77777777" w:rsidR="00AB5AD7" w:rsidRDefault="00AB5AD7"/>
        </w:tc>
        <w:tc>
          <w:tcPr>
            <w:tcW w:w="0" w:type="auto"/>
          </w:tcPr>
          <w:p w14:paraId="614054D3" w14:textId="77777777" w:rsidR="00AB5AD7" w:rsidRDefault="00AB5AD7"/>
          <w:p w14:paraId="7C0306FA"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7C78DCC9" w14:textId="77777777">
        <w:tblPrEx>
          <w:tblCellMar>
            <w:top w:w="0" w:type="dxa"/>
            <w:bottom w:w="0" w:type="dxa"/>
          </w:tblCellMar>
        </w:tblPrEx>
        <w:tc>
          <w:tcPr>
            <w:tcW w:w="0" w:type="auto"/>
          </w:tcPr>
          <w:p w14:paraId="0F19BAA6" w14:textId="77777777" w:rsidR="00AB5AD7" w:rsidRDefault="00AB5AD7"/>
          <w:p w14:paraId="691A3630" w14:textId="77777777" w:rsidR="00AB5AD7" w:rsidRDefault="009C7023">
            <w:pPr>
              <w:spacing w:after="0" w:line="276" w:lineRule="auto"/>
            </w:pPr>
            <w:r>
              <w:rPr>
                <w:rFonts w:ascii="Times New Roman" w:eastAsia="Times New Roman" w:hAnsi="Times New Roman" w:cs="Times New Roman"/>
                <w:sz w:val="26"/>
              </w:rPr>
              <w:t>g) Tờ khai thuế và giải trình  số thuế chuyển nhượng (nếu có) theo quy định pháp luật về thuế; thông báo của cơ quan thuế về việc đã nhận được hồ sơ khai thuế theo quy định pháp luật về thuế;</w:t>
            </w:r>
          </w:p>
        </w:tc>
        <w:tc>
          <w:tcPr>
            <w:tcW w:w="0" w:type="auto"/>
          </w:tcPr>
          <w:p w14:paraId="2D9DBF02" w14:textId="77777777" w:rsidR="00AB5AD7" w:rsidRDefault="00AB5AD7"/>
        </w:tc>
        <w:tc>
          <w:tcPr>
            <w:tcW w:w="0" w:type="auto"/>
          </w:tcPr>
          <w:p w14:paraId="17B574F7" w14:textId="77777777" w:rsidR="00AB5AD7" w:rsidRDefault="00AB5AD7"/>
          <w:p w14:paraId="2754D4EA"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40879D95" w14:textId="77777777">
        <w:tblPrEx>
          <w:tblCellMar>
            <w:top w:w="0" w:type="dxa"/>
            <w:bottom w:w="0" w:type="dxa"/>
          </w:tblCellMar>
        </w:tblPrEx>
        <w:tc>
          <w:tcPr>
            <w:tcW w:w="0" w:type="auto"/>
          </w:tcPr>
          <w:p w14:paraId="43BB0BAC" w14:textId="77777777" w:rsidR="00AB5AD7" w:rsidRDefault="00AB5AD7"/>
          <w:p w14:paraId="79BB9AAD" w14:textId="77777777" w:rsidR="00AB5AD7" w:rsidRDefault="009C7023">
            <w:pPr>
              <w:spacing w:after="0" w:line="276" w:lineRule="auto"/>
            </w:pPr>
            <w:r>
              <w:rPr>
                <w:rFonts w:ascii="Times New Roman" w:eastAsia="Times New Roman" w:hAnsi="Times New Roman" w:cs="Times New Roman"/>
                <w:sz w:val="26"/>
              </w:rPr>
              <w:t>h)  Các văn bản, tài liệu khác có liên quan</w:t>
            </w:r>
          </w:p>
        </w:tc>
        <w:tc>
          <w:tcPr>
            <w:tcW w:w="0" w:type="auto"/>
          </w:tcPr>
          <w:p w14:paraId="2D29CCD8" w14:textId="77777777" w:rsidR="00AB5AD7" w:rsidRDefault="00AB5AD7"/>
        </w:tc>
        <w:tc>
          <w:tcPr>
            <w:tcW w:w="0" w:type="auto"/>
          </w:tcPr>
          <w:p w14:paraId="37A446D2" w14:textId="77777777" w:rsidR="00AB5AD7" w:rsidRDefault="00AB5AD7"/>
          <w:p w14:paraId="343DC3A7"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52ABF580" w14:textId="77777777">
        <w:tblPrEx>
          <w:tblCellMar>
            <w:top w:w="0" w:type="dxa"/>
            <w:bottom w:w="0" w:type="dxa"/>
          </w:tblCellMar>
        </w:tblPrEx>
        <w:tc>
          <w:tcPr>
            <w:tcW w:w="0" w:type="auto"/>
          </w:tcPr>
          <w:p w14:paraId="2DB534A6" w14:textId="77777777" w:rsidR="00AB5AD7" w:rsidRDefault="00AB5AD7"/>
          <w:p w14:paraId="1BB17DC7" w14:textId="77777777" w:rsidR="00AB5AD7" w:rsidRDefault="009C7023">
            <w:pPr>
              <w:spacing w:after="0" w:line="276" w:lineRule="auto"/>
            </w:pPr>
            <w:r>
              <w:rPr>
                <w:rFonts w:ascii="Times New Roman" w:eastAsia="Times New Roman" w:hAnsi="Times New Roman" w:cs="Times New Roman"/>
                <w:sz w:val="26"/>
              </w:rPr>
              <w:t>3.3.2. Hồ sơ đề nghị phê duyệt việc PVN thực hiện quyền tham gia, quyền ưu tiên mua trước quyền lợi tham gia, tiếp nhận quyền lợi tham gia trong hợp đồng dầu khí gồm:</w:t>
            </w:r>
          </w:p>
        </w:tc>
        <w:tc>
          <w:tcPr>
            <w:tcW w:w="0" w:type="auto"/>
          </w:tcPr>
          <w:p w14:paraId="0332FAFC" w14:textId="77777777" w:rsidR="00AB5AD7" w:rsidRDefault="00AB5AD7"/>
        </w:tc>
        <w:tc>
          <w:tcPr>
            <w:tcW w:w="0" w:type="auto"/>
          </w:tcPr>
          <w:p w14:paraId="55D35828" w14:textId="77777777" w:rsidR="00AB5AD7" w:rsidRDefault="00AB5AD7"/>
          <w:p w14:paraId="27E9E2BB" w14:textId="77777777" w:rsidR="00AB5AD7" w:rsidRDefault="009C702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AB5AD7" w14:paraId="1DCE83C8" w14:textId="77777777">
        <w:tblPrEx>
          <w:tblCellMar>
            <w:top w:w="0" w:type="dxa"/>
            <w:bottom w:w="0" w:type="dxa"/>
          </w:tblCellMar>
        </w:tblPrEx>
        <w:tc>
          <w:tcPr>
            <w:tcW w:w="0" w:type="auto"/>
          </w:tcPr>
          <w:p w14:paraId="29F619FA" w14:textId="77777777" w:rsidR="00AB5AD7" w:rsidRDefault="00AB5AD7"/>
          <w:p w14:paraId="614F4391" w14:textId="77777777" w:rsidR="00AB5AD7" w:rsidRDefault="009C7023">
            <w:pPr>
              <w:spacing w:after="0" w:line="276" w:lineRule="auto"/>
            </w:pPr>
            <w:r>
              <w:rPr>
                <w:rFonts w:ascii="Times New Roman" w:eastAsia="Times New Roman" w:hAnsi="Times New Roman" w:cs="Times New Roman"/>
                <w:sz w:val="26"/>
              </w:rPr>
              <w:t xml:space="preserve">a) Văn bản đề nghị phê duyệt thực hiện quyền tham gia hoặc quyền ưu tiên mua trước quyền lợi tham gia hoặc tiếp nhận quyền lợi tham gia </w:t>
            </w:r>
            <w:r>
              <w:rPr>
                <w:rFonts w:ascii="Times New Roman" w:eastAsia="Times New Roman" w:hAnsi="Times New Roman" w:cs="Times New Roman"/>
                <w:sz w:val="26"/>
              </w:rPr>
              <w:lastRenderedPageBreak/>
              <w:t>trong hợp đồng dầu khí và cấp giấy chứng nhận đăng ký đầu tư điều chỉnh, bao gồm báo cáo đánh giá cơ hội đầu tư;</w:t>
            </w:r>
          </w:p>
        </w:tc>
        <w:tc>
          <w:tcPr>
            <w:tcW w:w="0" w:type="auto"/>
          </w:tcPr>
          <w:p w14:paraId="38DFF0E9" w14:textId="77777777" w:rsidR="00AB5AD7" w:rsidRDefault="00AB5AD7"/>
        </w:tc>
        <w:tc>
          <w:tcPr>
            <w:tcW w:w="0" w:type="auto"/>
          </w:tcPr>
          <w:p w14:paraId="0229EF51" w14:textId="77777777" w:rsidR="00AB5AD7" w:rsidRDefault="00AB5AD7"/>
          <w:p w14:paraId="1DCEB3A5"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AB5AD7" w14:paraId="756A72A2" w14:textId="77777777">
        <w:tblPrEx>
          <w:tblCellMar>
            <w:top w:w="0" w:type="dxa"/>
            <w:bottom w:w="0" w:type="dxa"/>
          </w:tblCellMar>
        </w:tblPrEx>
        <w:tc>
          <w:tcPr>
            <w:tcW w:w="0" w:type="auto"/>
          </w:tcPr>
          <w:p w14:paraId="16A25B09" w14:textId="77777777" w:rsidR="00AB5AD7" w:rsidRDefault="00AB5AD7"/>
          <w:p w14:paraId="6D8B37C4" w14:textId="77777777" w:rsidR="00AB5AD7" w:rsidRDefault="009C7023">
            <w:pPr>
              <w:spacing w:after="0" w:line="276" w:lineRule="auto"/>
            </w:pPr>
            <w:r>
              <w:rPr>
                <w:rFonts w:ascii="Times New Roman" w:eastAsia="Times New Roman" w:hAnsi="Times New Roman" w:cs="Times New Roman"/>
                <w:sz w:val="26"/>
              </w:rPr>
              <w:t>b)  Thông báo của PVN về việc thực hiện quyền tham gia hoặc thỏa thuận giữa PVN và nhà thầu về việc thực hiện quyền ưu tiên mua trước quyền lợi tham gia hoặc tiếp nhận quyền lợi tham gia trong hợp đồng dầu khí; văn bản của Thủ tướng Chính phủ yêu cầu PVN tiếp nhận quyền lợi tham gia của nhà thầu rút khỏi hợp đồng dầu khí vì lý do đặc biệt;</w:t>
            </w:r>
          </w:p>
        </w:tc>
        <w:tc>
          <w:tcPr>
            <w:tcW w:w="0" w:type="auto"/>
          </w:tcPr>
          <w:p w14:paraId="10E74FB2" w14:textId="77777777" w:rsidR="00AB5AD7" w:rsidRDefault="00AB5AD7"/>
        </w:tc>
        <w:tc>
          <w:tcPr>
            <w:tcW w:w="0" w:type="auto"/>
          </w:tcPr>
          <w:p w14:paraId="14E90BF3" w14:textId="77777777" w:rsidR="00AB5AD7" w:rsidRDefault="00AB5AD7"/>
          <w:p w14:paraId="4B7C2A2A"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1D74017A" w14:textId="77777777">
        <w:tblPrEx>
          <w:tblCellMar>
            <w:top w:w="0" w:type="dxa"/>
            <w:bottom w:w="0" w:type="dxa"/>
          </w:tblCellMar>
        </w:tblPrEx>
        <w:tc>
          <w:tcPr>
            <w:tcW w:w="0" w:type="auto"/>
          </w:tcPr>
          <w:p w14:paraId="0FBCA7D7" w14:textId="77777777" w:rsidR="00AB5AD7" w:rsidRDefault="00AB5AD7"/>
          <w:p w14:paraId="537FA7AA" w14:textId="77777777" w:rsidR="00AB5AD7" w:rsidRDefault="009C7023">
            <w:pPr>
              <w:spacing w:after="0" w:line="276" w:lineRule="auto"/>
            </w:pPr>
            <w:r>
              <w:rPr>
                <w:rFonts w:ascii="Times New Roman" w:eastAsia="Times New Roman" w:hAnsi="Times New Roman" w:cs="Times New Roman"/>
                <w:sz w:val="26"/>
              </w:rPr>
              <w:t>c)  Thỏa thuận sửa đổi hợp đồng dầu khí đã được thống nhất giữa PVN và nhà thầu;</w:t>
            </w:r>
          </w:p>
        </w:tc>
        <w:tc>
          <w:tcPr>
            <w:tcW w:w="0" w:type="auto"/>
          </w:tcPr>
          <w:p w14:paraId="63500650" w14:textId="77777777" w:rsidR="00AB5AD7" w:rsidRDefault="00AB5AD7"/>
        </w:tc>
        <w:tc>
          <w:tcPr>
            <w:tcW w:w="0" w:type="auto"/>
          </w:tcPr>
          <w:p w14:paraId="100F17F0" w14:textId="77777777" w:rsidR="00AB5AD7" w:rsidRDefault="00AB5AD7"/>
          <w:p w14:paraId="2E1602BE"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B5AD7" w14:paraId="0D1AC25B" w14:textId="77777777">
        <w:tblPrEx>
          <w:tblCellMar>
            <w:top w:w="0" w:type="dxa"/>
            <w:bottom w:w="0" w:type="dxa"/>
          </w:tblCellMar>
        </w:tblPrEx>
        <w:tc>
          <w:tcPr>
            <w:tcW w:w="0" w:type="auto"/>
          </w:tcPr>
          <w:p w14:paraId="06695F9E" w14:textId="77777777" w:rsidR="00AB5AD7" w:rsidRDefault="00AB5AD7"/>
          <w:p w14:paraId="1385F004" w14:textId="77777777" w:rsidR="00AB5AD7" w:rsidRDefault="009C7023">
            <w:pPr>
              <w:spacing w:after="0" w:line="276" w:lineRule="auto"/>
            </w:pPr>
            <w:r>
              <w:rPr>
                <w:rFonts w:ascii="Times New Roman" w:eastAsia="Times New Roman" w:hAnsi="Times New Roman" w:cs="Times New Roman"/>
                <w:sz w:val="26"/>
              </w:rPr>
              <w:t>d)  Các văn bản, tài liệu  khác có liên quan.</w:t>
            </w:r>
          </w:p>
        </w:tc>
        <w:tc>
          <w:tcPr>
            <w:tcW w:w="0" w:type="auto"/>
          </w:tcPr>
          <w:p w14:paraId="14558519" w14:textId="77777777" w:rsidR="00AB5AD7" w:rsidRDefault="00AB5AD7"/>
        </w:tc>
        <w:tc>
          <w:tcPr>
            <w:tcW w:w="0" w:type="auto"/>
          </w:tcPr>
          <w:p w14:paraId="2FDFDA0A" w14:textId="77777777" w:rsidR="00AB5AD7" w:rsidRDefault="00AB5AD7"/>
          <w:p w14:paraId="39BC6FD3" w14:textId="77777777" w:rsidR="00AB5AD7" w:rsidRDefault="009C70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69EC239" w14:textId="77777777" w:rsidR="00AB5AD7" w:rsidRDefault="009C702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238DE225" w14:textId="77777777" w:rsidR="00AB5AD7" w:rsidRDefault="009C702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Vụ Dầu khí và Than</w:t>
      </w:r>
    </w:p>
    <w:p w14:paraId="15296C54" w14:textId="77777777" w:rsidR="00AB5AD7" w:rsidRDefault="009C702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12D7F8B" w14:textId="77777777" w:rsidR="00AB5AD7" w:rsidRDefault="009C702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982FE10" w14:textId="77777777" w:rsidR="00AB5AD7" w:rsidRDefault="009C702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159B4B5" w14:textId="77777777" w:rsidR="00AB5AD7" w:rsidRDefault="009C702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9765832" w14:textId="77777777" w:rsidR="00AB5AD7" w:rsidRDefault="009C702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phê duyệt</w:t>
      </w:r>
    </w:p>
    <w:p w14:paraId="2C226B34" w14:textId="77777777" w:rsidR="00AB5AD7" w:rsidRDefault="009C702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9"/>
        <w:gridCol w:w="3300"/>
        <w:gridCol w:w="1408"/>
        <w:gridCol w:w="2754"/>
      </w:tblGrid>
      <w:tr w:rsidR="00AB5AD7" w14:paraId="20223DF1" w14:textId="77777777">
        <w:tblPrEx>
          <w:tblCellMar>
            <w:top w:w="0" w:type="dxa"/>
            <w:bottom w:w="0" w:type="dxa"/>
          </w:tblCellMar>
        </w:tblPrEx>
        <w:tc>
          <w:tcPr>
            <w:tcW w:w="2000" w:type="dxa"/>
          </w:tcPr>
          <w:p w14:paraId="3F777917" w14:textId="77777777" w:rsidR="00AB5AD7" w:rsidRDefault="00AB5AD7"/>
          <w:p w14:paraId="656D40F8" w14:textId="77777777" w:rsidR="00AB5AD7" w:rsidRDefault="009C7023">
            <w:pPr>
              <w:spacing w:after="0" w:line="276" w:lineRule="auto"/>
              <w:jc w:val="center"/>
            </w:pPr>
            <w:r>
              <w:rPr>
                <w:rFonts w:ascii="Times New Roman" w:eastAsia="Times New Roman" w:hAnsi="Times New Roman" w:cs="Times New Roman"/>
                <w:b/>
                <w:sz w:val="26"/>
              </w:rPr>
              <w:t>Số ký hiệu</w:t>
            </w:r>
          </w:p>
        </w:tc>
        <w:tc>
          <w:tcPr>
            <w:tcW w:w="3500" w:type="dxa"/>
          </w:tcPr>
          <w:p w14:paraId="2B624D3A" w14:textId="77777777" w:rsidR="00AB5AD7" w:rsidRDefault="00AB5AD7"/>
          <w:p w14:paraId="75396975" w14:textId="77777777" w:rsidR="00AB5AD7" w:rsidRDefault="009C7023">
            <w:pPr>
              <w:spacing w:after="0" w:line="276" w:lineRule="auto"/>
              <w:jc w:val="center"/>
            </w:pPr>
            <w:r>
              <w:rPr>
                <w:rFonts w:ascii="Times New Roman" w:eastAsia="Times New Roman" w:hAnsi="Times New Roman" w:cs="Times New Roman"/>
                <w:b/>
                <w:sz w:val="26"/>
              </w:rPr>
              <w:t>Trích yếu</w:t>
            </w:r>
          </w:p>
        </w:tc>
        <w:tc>
          <w:tcPr>
            <w:tcW w:w="1500" w:type="dxa"/>
          </w:tcPr>
          <w:p w14:paraId="368FA0F8" w14:textId="77777777" w:rsidR="00AB5AD7" w:rsidRDefault="00AB5AD7"/>
          <w:p w14:paraId="3F1F207D" w14:textId="77777777" w:rsidR="00AB5AD7" w:rsidRDefault="009C7023">
            <w:pPr>
              <w:spacing w:after="0" w:line="276" w:lineRule="auto"/>
              <w:jc w:val="center"/>
            </w:pPr>
            <w:r>
              <w:rPr>
                <w:rFonts w:ascii="Times New Roman" w:eastAsia="Times New Roman" w:hAnsi="Times New Roman" w:cs="Times New Roman"/>
                <w:b/>
                <w:sz w:val="26"/>
              </w:rPr>
              <w:t>Ngày ban hành</w:t>
            </w:r>
          </w:p>
        </w:tc>
        <w:tc>
          <w:tcPr>
            <w:tcW w:w="3000" w:type="dxa"/>
          </w:tcPr>
          <w:p w14:paraId="282E1F72" w14:textId="77777777" w:rsidR="00AB5AD7" w:rsidRDefault="00AB5AD7"/>
          <w:p w14:paraId="0C792F8F" w14:textId="77777777" w:rsidR="00AB5AD7" w:rsidRDefault="009C7023">
            <w:pPr>
              <w:spacing w:after="0" w:line="276" w:lineRule="auto"/>
              <w:jc w:val="center"/>
            </w:pPr>
            <w:r>
              <w:rPr>
                <w:rFonts w:ascii="Times New Roman" w:eastAsia="Times New Roman" w:hAnsi="Times New Roman" w:cs="Times New Roman"/>
                <w:b/>
                <w:sz w:val="26"/>
              </w:rPr>
              <w:t>Cơ quan ban hành</w:t>
            </w:r>
          </w:p>
        </w:tc>
      </w:tr>
      <w:tr w:rsidR="00AB5AD7" w14:paraId="02C4B54E" w14:textId="77777777">
        <w:tblPrEx>
          <w:tblCellMar>
            <w:top w:w="0" w:type="dxa"/>
            <w:bottom w:w="0" w:type="dxa"/>
          </w:tblCellMar>
        </w:tblPrEx>
        <w:tc>
          <w:tcPr>
            <w:tcW w:w="0" w:type="auto"/>
          </w:tcPr>
          <w:p w14:paraId="5CAF1AD8" w14:textId="77777777" w:rsidR="00AB5AD7" w:rsidRDefault="00AB5AD7"/>
          <w:p w14:paraId="44A5B792" w14:textId="77777777" w:rsidR="00AB5AD7" w:rsidRDefault="009C7023">
            <w:pPr>
              <w:spacing w:after="0" w:line="276" w:lineRule="auto"/>
            </w:pPr>
            <w:r>
              <w:rPr>
                <w:rFonts w:ascii="Times New Roman" w:eastAsia="Times New Roman" w:hAnsi="Times New Roman" w:cs="Times New Roman"/>
                <w:sz w:val="26"/>
              </w:rPr>
              <w:t>nghị định 146/2025</w:t>
            </w:r>
          </w:p>
        </w:tc>
        <w:tc>
          <w:tcPr>
            <w:tcW w:w="0" w:type="auto"/>
          </w:tcPr>
          <w:p w14:paraId="2480337B" w14:textId="77777777" w:rsidR="00AB5AD7" w:rsidRDefault="00AB5AD7"/>
          <w:p w14:paraId="6543CE8C" w14:textId="77777777" w:rsidR="00AB5AD7" w:rsidRDefault="009C7023">
            <w:pPr>
              <w:spacing w:after="0" w:line="276" w:lineRule="auto"/>
            </w:pPr>
            <w:r>
              <w:rPr>
                <w:rFonts w:ascii="Times New Roman" w:eastAsia="Times New Roman" w:hAnsi="Times New Roman" w:cs="Times New Roman"/>
                <w:sz w:val="26"/>
              </w:rPr>
              <w:t>Nghị định số 146/2025/NĐ-CP</w:t>
            </w:r>
          </w:p>
        </w:tc>
        <w:tc>
          <w:tcPr>
            <w:tcW w:w="0" w:type="auto"/>
          </w:tcPr>
          <w:p w14:paraId="7557BB08" w14:textId="77777777" w:rsidR="00AB5AD7" w:rsidRDefault="00AB5AD7"/>
          <w:p w14:paraId="41AF0A82" w14:textId="77777777" w:rsidR="00AB5AD7" w:rsidRDefault="009C7023">
            <w:pPr>
              <w:spacing w:after="0" w:line="276" w:lineRule="auto"/>
            </w:pPr>
            <w:r>
              <w:rPr>
                <w:rFonts w:ascii="Times New Roman" w:eastAsia="Times New Roman" w:hAnsi="Times New Roman" w:cs="Times New Roman"/>
                <w:sz w:val="26"/>
              </w:rPr>
              <w:t>12-06-2025</w:t>
            </w:r>
          </w:p>
        </w:tc>
        <w:tc>
          <w:tcPr>
            <w:tcW w:w="0" w:type="auto"/>
          </w:tcPr>
          <w:p w14:paraId="7332E694" w14:textId="77777777" w:rsidR="00AB5AD7" w:rsidRDefault="00AB5AD7"/>
        </w:tc>
      </w:tr>
    </w:tbl>
    <w:p w14:paraId="4F6C166D" w14:textId="77777777" w:rsidR="00AB5AD7" w:rsidRDefault="009C702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Việc chuyển nhượng quyền lợi tham gia, quyền và nghĩa vụ của nhà thầu trong hợp đồng dầu khí phải đáp ứng các điều kiện theo quy định tại </w:t>
      </w:r>
      <w:r>
        <w:rPr>
          <w:rFonts w:ascii="Times New Roman" w:eastAsia="Times New Roman" w:hAnsi="Times New Roman" w:cs="Times New Roman"/>
          <w:sz w:val="26"/>
        </w:rPr>
        <w:lastRenderedPageBreak/>
        <w:t>khoản 1 Điều 36 Luật Dầu khí năm 2022, cụ thể: (i) Bên nhận chuyển nhượng cam kết kế thừa các quyền lợi tham gia, quyền và nghĩa vụ của bên chuyển nhượng và thực hiện các nội dung của hợp đồng dầu khí đã được ký kết; (ii) Bên chuyển nhượng và bên nhận chuyển nhượng phải đáp ứng các điều kiện theo quy định của Luật Dầu khí năm 2022 và quy định của pháp luật có liên quan; (</w:t>
      </w:r>
      <w:r>
        <w:rPr>
          <w:rFonts w:ascii="Times New Roman" w:eastAsia="Times New Roman" w:hAnsi="Times New Roman" w:cs="Times New Roman"/>
          <w:sz w:val="26"/>
        </w:rPr>
        <w:t>iii) Bên chuyển nhượng có nghĩa vụ nộp thuế, phí và lệ phí liên quan đến việc chuyển nhượng theo quy định của pháp luật về thuế, phí và lệ phí và quy định khác của pháp luật có liên quan.</w:t>
      </w:r>
    </w:p>
    <w:p w14:paraId="00A52A12" w14:textId="77777777" w:rsidR="00AB5AD7" w:rsidRDefault="009C702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B4BB02E" w14:textId="77777777" w:rsidR="00AB5AD7" w:rsidRDefault="009C702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https://thutuc.dichvucong.gov.vn/p/home/dvc-tthc-thu-tuc-hanh-chinh-chi-tiet.html?ma_thu_tuc=383725</w:t>
      </w:r>
    </w:p>
    <w:sectPr w:rsidR="00AB5A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B5AD7"/>
    <w:rsid w:val="009C7023"/>
    <w:rsid w:val="00AB5AD7"/>
    <w:rsid w:val="00E44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2976"/>
  <w15:docId w15:val="{FBC94941-FFB6-4CC4-9767-90D7F056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2025-11-27T08:45:00Z</dcterms:created>
  <dcterms:modified xsi:type="dcterms:W3CDTF">2025-11-27T08:45:00Z</dcterms:modified>
</cp:coreProperties>
</file>