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đầu tư nước ngoài theo hình thức liên doanh sản xuất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Các bên liên quan gửi hồ sơ dự án thành lập tổ chức kinh tế có vốn đầu tư nước ngoài, hợp đồng thành lập tổ chức kinh tế có vốn đầu tư nước ngoài kèm theo văn bản đề nghị về Bộ Công Thương;
- Trong thời gian 30 ngày làm việc kể từ ngày nhận đủ hồ sơ và văn bản đề nghị của doanh nghiệp, Bộ Công Thương xem xét quyết định. Trường hợp từ chối phải có văn bản trả lời doanh nghiệp;
- Sau khi có văn bản chấp thuận của Bộ Công Thương, các bên liên doanh mới được triển khai đăng ký thành lập liên doanh theo quy định của pháp luật hiện hành về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thành lập tổ chức kinh tế có vốn đầu tư nước ngoài sản xuất sản phẩm thuốc lá</w:t>
            </w:r>
          </w:p>
        </w:tc>
        <w:tc>
          <w:p/>
          <w:p>
            <w:pPr>
              <w:spacing w:after="0" w:before="0" w:lineRule="auto" w:line="276"/>
              <w:jc w:val="left"/>
            </w:pPr>
            <w:r>
              <w:rPr>
                <w:rFonts w:ascii="Times New Roman" w:hAnsi="Times New Roman" w:cs="Times New Roman" w:eastAsia="Times New Roman"/>
                <w:b w:val="false"/>
                <w:sz w:val="26"/>
              </w:rPr>
              <w:t>DondeNghi.docx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sản xuất kinh doanh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thành lập tổ chức kinh tế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dự án + Trường hợp dự án được thực hiện lần đầu hoặc hoạt động độc lập: Báo cáo (dự án) đầu tư theo quy định hiện hành của pháp luật về đầu tư và xây dựng; + Trường hợp dự án đang sản xuất: Thuyết minh hiện trạng quy trình sản xuất, cơ sở vật chất (nhà xưởng), máy móc thiết bị chuyên ngành thuốc lá (Bảng kê danh mục máy móc, thiết bị cuốn điếu thuốc lá và đóng bao thuốc lá, năng lực từng công đoạn quy đổi ra bao 20 điếu, thiết bị đo lường, kiểm tra chất lượng…); công suất sản xuất; sản lượng sản xuất từng loại sản phẩm thuốc lá; phạm vi và mục tiêu hoạt động; phương án đầu tư máy móc thiết bị và xử lý các máy móc thiết bị được thay thế; hiệu quả của dự án; báo cáo kiểm toán độc lập năm gần nhất trước thời điểm nộp hồ sơ (hoặc báo cáo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chứng minh nguồn gốc hợp pháp của máy móc, thiết bị chuyên ngành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hồ sơ chứng minh đầu tư trồng hoặc liên kết đầu tư trồng cây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108/2018/NĐ-CP </w:t>
            </w:r>
          </w:p>
        </w:tc>
        <w:tc>
          <w:p/>
          <w:p>
            <w:pPr>
              <w:spacing w:after="0" w:before="0" w:lineRule="auto" w:line="276"/>
              <w:jc w:val="left"/>
            </w:pPr>
            <w:r>
              <w:rPr>
                <w:rFonts w:ascii="Times New Roman" w:hAnsi="Times New Roman" w:cs="Times New Roman" w:eastAsia="Times New Roman"/>
                <w:b w:val="false"/>
                <w:sz w:val="26"/>
              </w:rPr>
              <w:t>108/2018/NĐ-CP</w:t>
            </w:r>
          </w:p>
        </w:tc>
        <w:tc>
          <w:p/>
          <w:p>
            <w:pPr>
              <w:spacing w:after="0" w:before="0" w:lineRule="auto" w:line="276"/>
              <w:jc w:val="left"/>
            </w:pPr>
            <w:r>
              <w:rPr>
                <w:rFonts w:ascii="Times New Roman" w:hAnsi="Times New Roman" w:cs="Times New Roman" w:eastAsia="Times New Roman"/>
                <w:b w:val="false"/>
                <w:sz w:val="26"/>
              </w:rPr>
              <w:t>23-08-2018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Nghị định 67/2013/NĐ-CP</w:t>
            </w:r>
          </w:p>
        </w:tc>
        <w:tc>
          <w:p/>
          <w:p>
            <w:pPr>
              <w:spacing w:after="0" w:before="0" w:lineRule="auto" w:line="276"/>
              <w:jc w:val="left"/>
            </w:pPr>
            <w:r>
              <w:rPr>
                <w:rFonts w:ascii="Times New Roman" w:hAnsi="Times New Roman" w:cs="Times New Roman" w:eastAsia="Times New Roman"/>
                <w:b w:val="false"/>
                <w:sz w:val="26"/>
              </w:rPr>
              <w:t>28-06-2013</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có Giấy phép sản xuất sản phẩm thuốc lá.
- Đầu tư trên cơ sở liên doanh hợp tác với doanh nghiệp đã có Giấy phép sản xuất sản phẩm thuốc lá. Nhà nước chiếm tỷ lệ chi phối trong vốn điều lệ của doanh nghiệp (trong trường hợp đầu tư theo hình thức thành lập tổ chức kinh tế có vốn đầu tư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https://thutuc.dichvucong.gov.vn/p/home/dvc-tthc-thu-tuc-hanh-chinh-chi-tiet.html?ma_thu_tuc=384001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2025-11-27T08:45:52Z</dcterms:created>
  <dc:creator>Apache POI</dc:creator>
</cp:coreProperties>
</file>