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1.014126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1972/QĐ-BCT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huấn luyện kỹ thuật an toàn trong khai thác khoáng sản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Khoáng sản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doanh nghiệp nộp văn bản đề nghị cấp lại giấy chứng nhận huấn luyện kỹ thuật an toàn trong khai thác khoáng sản tới Ủy ban nhân dân cấp tỉnh;
- Bước 2: Ủy ban nhân dân cấp tỉnh có trách nhiệm tiếp nhận và kiểm tra hồ sơ. Trường hợp hồ sơ chưa hợp lệ, trong thời hạn 02 (hai) ngày làm việc kể từ ngày nhận được hồ sơ Ủy ban nhân dân cấp tỉnh phải trả lời bằng văn bản và nêu rõ lý do. 
- Bước 3: Trong thời hạn 03 (ba) ngày làm việc kể từ ngày nhận được bộ hồ sơ hợp lệ, Ủy ban nhân dân cấp tỉnh có trách nhiệm cấp lại giấy chứng nhận huấn luyện kỹ thuật an toàn trong khai thác khoáng sản theo Mẫu số 03 tại Phụ lục ban hành kèm theo Thông tư số 43/2025/TT-BCT.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(ba) ngày làm việc kể từ ngày nhận được hồ sơ đầy đủ hợp lệ, Ủy ban nhân dân cấp tỉnh cấp lại Giấy chứng nhận huấn luyện kỹ thuật an toàn về khai thác khoáng sản; trường hợp hồ sơ không đầy đủ, hợp lệ, trong thời hạn 02 ngày làm việc kể từ ngày nhận được hồ sơ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(ba) ngày làm việc kể từ ngày nhận được hồ sơ đầy đủ hợp lệ, Ủy ban nhân dân cấp tỉnh cấp lại Giấy chứng nhận huấn luyện kỹ thuật an toàn về khai thác khoáng sản; trường hợp hồ sơ không đầy đủ, hợp lệ, trong thời hạn 02 ngày làm việc kể từ ngày nhận được hồ sơ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(ba) ngày làm việc kể từ ngày nhận được hồ sơ đầy đủ hợp lệ, Ủy ban nhân dân cấp tỉnh cấp lại Giấy chứng nhận huấn luyện kỹ thuật an toàn về khai thác khoáng sản; trường hợp hồ sơ không đầy đủ, hợp lệ, trong thời hạn 02 ngày làm việc kể từ ngày nhận được hồ sơ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theo Mẫu số 04 tại Phụ lục ban hành kèm theo Thông tư số        43/2025/TT-BCT</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người đề nghị theo Mẫu số 02 tại Phụ lục ban hành kèm theo Thông tư số 43/2025/TT-BCT</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- 02 ảnh (3x4 cm) của người trong danh sách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huấn luyện kỹ thuật an toàn trong khai thác khoáng sản.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54/2024/QH15</w:t>
            </w:r>
          </w:p>
        </w:tc>
        <w:tc>
          <w:p/>
          <w:p>
            <w:pPr>
              <w:spacing w:after="0" w:before="0" w:lineRule="auto" w:line="276"/>
              <w:jc w:val="left"/>
            </w:pPr>
            <w:r>
              <w:rPr>
                <w:rFonts w:ascii="Times New Roman" w:hAnsi="Times New Roman" w:cs="Times New Roman" w:eastAsia="Times New Roman"/>
                <w:b w:val="false"/>
                <w:sz w:val="26"/>
              </w:rPr>
              <w:t>Luật Địa chất và Khoáng sản</w:t>
            </w:r>
          </w:p>
        </w:tc>
        <w:tc>
          <w:p/>
          <w:p>
            <w:pPr>
              <w:spacing w:after="0" w:before="0" w:lineRule="auto" w:line="276"/>
              <w:jc w:val="left"/>
            </w:pPr>
            <w:r>
              <w:rPr>
                <w:rFonts w:ascii="Times New Roman" w:hAnsi="Times New Roman" w:cs="Times New Roman" w:eastAsia="Times New Roman"/>
                <w:b w:val="false"/>
                <w:sz w:val="26"/>
              </w:rPr>
              <w:t>29-11-2024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43/2025/QĐ-UBND</w:t>
            </w:r>
          </w:p>
        </w:tc>
        <w:tc>
          <w:p/>
          <w:p>
            <w:pPr>
              <w:spacing w:after="0" w:before="0" w:lineRule="auto" w:line="276"/>
              <w:jc w:val="left"/>
            </w:pPr>
            <w:r>
              <w:rPr>
                <w:rFonts w:ascii="Times New Roman" w:hAnsi="Times New Roman" w:cs="Times New Roman" w:eastAsia="Times New Roman"/>
                <w:b w:val="false"/>
                <w:sz w:val="26"/>
              </w:rPr>
              <w:t>Quyết định số 43/2025/QĐ-UBND ngày 13/5/2025 của UBND tỉnh Thanh Hoá phân cấp cho Sở Xây dựng cấp, gia hạn, thu hồi, huỷ giấy phép xây dựng, quyết định bãi bỏ đường ngang trên đường sắt chuyên dùng; cấp, gia hạn, thu hồi, huỷ giấy phép xây dựng công trình thiết yếu trong phạm vi đất dành cho đường sắt đô thi thuộc phạm vi quản lý trên địa bàn tỉnh Thanh Hoá.</w:t>
            </w:r>
          </w:p>
        </w:tc>
        <w:tc>
          <w:p/>
          <w:p>
            <w:pPr>
              <w:spacing w:after="0" w:before="0" w:lineRule="auto" w:line="276"/>
              <w:jc w:val="left"/>
            </w:pPr>
            <w:r>
              <w:rPr>
                <w:rFonts w:ascii="Times New Roman" w:hAnsi="Times New Roman" w:cs="Times New Roman" w:eastAsia="Times New Roman"/>
                <w:b w:val="false"/>
                <w:sz w:val="26"/>
              </w:rPr>
              <w:t>13-05-2025</w:t>
            </w:r>
          </w:p>
        </w:tc>
        <w:tc>
          <w:p/>
          <w:p>
            <w:pPr>
              <w:spacing w:after="0" w:before="0" w:lineRule="auto" w:line="276"/>
              <w:jc w:val="left"/>
            </w:pPr>
            <w:r>
              <w:rPr>
                <w:rFonts w:ascii="Times New Roman" w:hAnsi="Times New Roman" w:cs="Times New Roman" w:eastAsia="Times New Roman"/>
                <w:b w:val="false"/>
                <w:sz w:val="26"/>
              </w:rPr>
              <w:t>Ủy ban nhân dân cấp tỉnh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https://thutuc.dichvucong.gov.vn/p/home/dvc-tthc-thu-tuc-hanh-chinh-chi-tiet.html?ma_thu_tuc=407006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2025-11-27T08:46:25Z</dcterms:created>
  <dc:creator>Apache POI</dc:creator>
</cp:coreProperties>
</file>