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thay đổi dấu nghiệp vụ giám định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hồ sơ về Ủy ban nhân dân tỉnh, thành phố trực thuộc trung ương (sau đây gọi là Cơ quan đăng ký dấu nghiệp vụ)
Trong thời gian 03 ngày làm việc kể từ ngày nhận bộ hồ sơ, cơ quan đăng ký dấu nghiệp vụ có trách nhiệm thông báo bằng văn bản cho thương nhân yêu cầu bổ sung và hoàn chỉnh hồ sơ trong trường hợp hồ sơ chưa đầy đủ, hợp lệ;
Trong thời hạn 07 ngày làm việc kể từ ngày tiếp nhận bộ hồ sơ hợp lệ theo quy định tại khoản 1 Điều 4 Thông tư số 01/2015/TT-BCT, cơ quan đăng ký dấu nghiệp vụ có trách nhiệm đăng ký dấu nghiệp vụ sử dụng trong chứng thư giám định của thương nhân vào Sổ đăng ký dấu nghiệp vụ và thông báo đăng ký dấu nghiệp vụ giám định cho thương nhân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Trường hợp thay đổi, bổ sung dấu nghiệp vụ trong chứng thư giám định, thương nhân kinh doanh dịch vụ giám định thương mại phải đăng ký với cơ quan đăng ký dấu nghiệp vụ nơi thương nhân đăng ký kinh doanh.</w:t>
            </w:r>
          </w:p>
        </w:tc>
        <w:tc>
          <w:p/>
          <w:p>
            <w:pPr>
              <w:spacing w:after="0" w:before="0" w:lineRule="auto" w:line="276"/>
              <w:jc w:val="left"/>
            </w:pPr>
            <w:r>
              <w:rPr>
                <w:rFonts w:ascii="Times New Roman" w:hAnsi="Times New Roman" w:cs="Times New Roman" w:eastAsia="Times New Roman"/>
                <w:b w:val="false"/>
                <w:sz w:val="26"/>
              </w:rPr>
              <w:t>Mus55.docx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Trình tự giải quyết và hồ sơ đăng ký thay đổi, bổ sung dấu nghiệp vụ thực hiện theo quy định tại Điều 4 Thông tư số 01/2015/TT-BCT.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Thương nhân chuyển địa chỉ trụ sở chính sang tỉnh, thành phố khác trực thuộc Trung ương có trách nhiệm thông báo bằng văn bản về việc đã đăng ký dấu nghiệp vụ tại nơi chuyển đi đến cơ quan đăng ký dấu nghiệp vụ nơi chuyển đến trong thời hạn 30 ngày kể từ ngày chuyển đến và không phải làm thủ tục đăng ký dấu nghiệp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đăng ký thay đổi, bổ sung dấu nghiệp nghiệp vụ giám định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20/2006/NĐ-CP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kinh doanh dịch vụ giám định thương mại</w:t>
            </w:r>
          </w:p>
        </w:tc>
        <w:tc>
          <w:p/>
          <w:p>
            <w:pPr>
              <w:spacing w:after="0" w:before="0" w:lineRule="auto" w:line="276"/>
              <w:jc w:val="left"/>
            </w:pPr>
            <w:r>
              <w:rPr>
                <w:rFonts w:ascii="Times New Roman" w:hAnsi="Times New Roman" w:cs="Times New Roman" w:eastAsia="Times New Roman"/>
                <w:b w:val="false"/>
                <w:sz w:val="26"/>
              </w:rPr>
              <w:t>20-02-2006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125/2014/NĐ-CP</w:t>
            </w:r>
          </w:p>
        </w:tc>
        <w:tc>
          <w:p/>
          <w:p>
            <w:pPr>
              <w:spacing w:after="0" w:before="0" w:lineRule="auto" w:line="276"/>
              <w:jc w:val="left"/>
            </w:pPr>
            <w:r>
              <w:rPr>
                <w:rFonts w:ascii="Times New Roman" w:hAnsi="Times New Roman" w:cs="Times New Roman" w:eastAsia="Times New Roman"/>
                <w:b w:val="false"/>
                <w:sz w:val="26"/>
              </w:rPr>
              <w:t>Sửa đổi, bổ sung quy định về dịch vụ giám định thương mại tại Nghị định số 120/2011/NĐ-CP ngày 16 tháng 12 năm 2011 và nghị định số 20/2006/NĐ-CP ngày 20 tháng 02 năm 2006</w:t>
            </w:r>
          </w:p>
        </w:tc>
        <w:tc>
          <w:p/>
          <w:p>
            <w:pPr>
              <w:spacing w:after="0" w:before="0" w:lineRule="auto" w:line="276"/>
              <w:jc w:val="left"/>
            </w:pPr>
            <w:r>
              <w:rPr>
                <w:rFonts w:ascii="Times New Roman" w:hAnsi="Times New Roman" w:cs="Times New Roman" w:eastAsia="Times New Roman"/>
                <w:b w:val="false"/>
                <w:sz w:val="26"/>
              </w:rPr>
              <w:t>26-08-2019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01/2015/TT-BCT</w:t>
            </w:r>
          </w:p>
        </w:tc>
        <w:tc>
          <w:p/>
          <w:p>
            <w:pPr>
              <w:spacing w:after="0" w:before="0" w:lineRule="auto" w:line="276"/>
              <w:jc w:val="left"/>
            </w:pPr>
            <w:r>
              <w:rPr>
                <w:rFonts w:ascii="Times New Roman" w:hAnsi="Times New Roman" w:cs="Times New Roman" w:eastAsia="Times New Roman"/>
                <w:b w:val="false"/>
                <w:sz w:val="26"/>
              </w:rPr>
              <w:t>Quy định thủ tục đăng ký dấu nghiệp vụ của thương nhân kinh doanh dịch vụ giám định thương mại</w:t>
            </w:r>
          </w:p>
        </w:tc>
        <w:tc>
          <w:p/>
          <w:p>
            <w:pPr>
              <w:spacing w:after="0" w:before="0" w:lineRule="auto" w:line="276"/>
              <w:jc w:val="left"/>
            </w:pPr>
            <w:r>
              <w:rPr>
                <w:rFonts w:ascii="Times New Roman" w:hAnsi="Times New Roman" w:cs="Times New Roman" w:eastAsia="Times New Roman"/>
                <w:b w:val="false"/>
                <w:sz w:val="26"/>
              </w:rPr>
              <w:t>12-01-2015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dịch vụ giám định thương mại.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2025-11-27T08:33:31Z</dcterms:created>
  <dc:creator>Apache POI</dc:creator>
</cp:coreProperties>
</file>