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gửi hồ sơ đăng ký tổ chức Hội chợ, Triển lãm thương mại tạiViệt Nam đến Sở Công Thương
- Sở Công Thương xem xét xác nhận cho Thương nhân, tổ chức đăng ký tổ chức Hội chợ, Triển lãm thương mại tại Việt Nam. Trường hợp không xác nhận phải trả lời bằng văn bản và nêu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Sử dụng hệ thống dịch vụ công trực tuyến do cơ quan quản lý nhà nước có thẩm quyền cung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Đăng ký tổ chức hội chợ, triển lãm thương mại theo mẫu quy định;</w:t>
            </w:r>
          </w:p>
        </w:tc>
        <w:tc>
          <w:p/>
          <w:p>
            <w:pPr>
              <w:spacing w:after="0" w:before="0" w:lineRule="auto" w:line="276"/>
              <w:jc w:val="left"/>
            </w:pPr>
            <w:r>
              <w:rPr>
                <w:rFonts w:ascii="Times New Roman" w:hAnsi="Times New Roman" w:cs="Times New Roman" w:eastAsia="Times New Roman"/>
                <w:b w:val="false"/>
                <w:sz w:val="26"/>
              </w:rPr>
              <w:t>Mẫu số 11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tổ chức hội chợ, triển lãm thương mại tại Việt Nam, Công văn không xác nhận Đăng ký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07/2007/TTLT-BTM-BTC</w:t>
            </w:r>
          </w:p>
        </w:tc>
        <w:tc>
          <w:p/>
          <w:p>
            <w:pPr>
              <w:spacing w:after="0" w:before="0" w:lineRule="auto" w:line="276"/>
              <w:jc w:val="left"/>
            </w:pPr>
            <w:r>
              <w:rPr>
                <w:rFonts w:ascii="Times New Roman" w:hAnsi="Times New Roman" w:cs="Times New Roman" w:eastAsia="Times New Roman"/>
                <w:b w:val="false"/>
                <w:sz w:val="26"/>
              </w:rPr>
              <w:t>Thông tư Liên tịch số 07/2007/TTLT-BTM-BTC ngày 06 tháng 7 năm 2007 của Bộ Thương mại và Bộ Tài chính về Hướng dẫn thực hiện một số điều về khuyến mại và hội chợ, triển lãm thương mại quy định tại Nghị định số 37/2006/NĐ-CP ngày 04 tháng 4 năm 2006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07-06-2007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2025-11-27T08:33:44Z</dcterms:created>
  <dc:creator>Apache POI</dc:creator>
</cp:coreProperties>
</file>