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Nhượng quyền thương mại từ nước ngoài vào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Dịch vụ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Bên dự kiến nhượng quyền thương mại gửi hồ sơ đề nghị đăng ký hoạt động nhượng quyền thương mại đến Bộ Công Thương</w:t>
      </w:r>
    </w:p>
    <w:p>
      <w:pPr>
        <w:spacing w:after="0" w:before="0" w:lineRule="auto" w:line="276"/>
        <w:jc w:val="both"/>
      </w:pPr>
      <w:r>
        <w:rPr>
          <w:rFonts w:ascii="Times New Roman" w:hAnsi="Times New Roman" w:cs="Times New Roman" w:eastAsia="Times New Roman"/>
          <w:b w:val="false"/>
          <w:sz w:val="26"/>
        </w:rPr>
        <w:t>Trong thời hạn 05 ngày làm việc, kể từ khi nhận đủ hồ sơ hợp lệ, Bộ Công Thương thực hiện đăng ký hoạt động nhượng quyền thương mại vào Sổ đăng ký hoạt động nhượng quyền thương mại và ra Thông báo chấp thuận đăng ký hoạt động nhượng quyền thương mại gửi thương nhân về việc đăng ký đó. Trường hợp từ chối việc đăng ký thì phải thông báo bằng văn bản cho Bên dự kiến nhượng quyền và nêu rõ lý do</w:t>
      </w:r>
    </w:p>
    <w:p>
      <w:pPr>
        <w:spacing w:after="0" w:before="0" w:lineRule="auto" w:line="276"/>
        <w:jc w:val="both"/>
      </w:pPr>
      <w:r>
        <w:rPr>
          <w:rFonts w:ascii="Times New Roman" w:hAnsi="Times New Roman" w:cs="Times New Roman" w:eastAsia="Times New Roman"/>
          <w:b w:val="false"/>
          <w:sz w:val="26"/>
        </w:rPr>
        <w:t>Trường hợp hồ sơ chưa đầy đủ hoặc chưa hợp lệ, trong thời hạn 02 ngày làm việc, kể từ ngày nhận được hồ sơ, Bộ Công Thương ra văn bản thông báo để Bên dự kiến nhượng quyền bổ sung, hoàn chỉnh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 Trường hợp hồ sơ chưa đầy đủ hoặc chưa hợp lệ, trong thời hạn 02 ngày làm việc, kể từ ngày nhận được hồ sơ, Bộ Công Thương phải có văn bản thông báo để thương nhân bổ sung, hoàn chỉnh hồ sơ - Trường hợp nhận đủ hồ sơ hợp lệ, trong thời hạn 05 ngày làm việc kể từ ngày nhận hồ sơ, Bộ Công Thương thực hiện đăng ký hoạt động nhượng quyền thương mại vào Sổ đăng ký và thông báo bằng văn bản cho thương nhân về việc đăng ký đó. Nếu từ chối việc đăng ký, Bộ Công Thương phải thông báo bằng văn bản cho thương nhân và nêu rõ lý do.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 Trường hợp hồ sơ chưa đầy đủ hoặc chưa hợp lệ, trong thời hạn 02 ngày làm việc, kể từ ngày nhận được hồ sơ, Bộ Công Thương phải có văn bản thông báo để thương nhân bổ sung, hoàn chỉnh hồ sơ - Trường hợp nhận đủ hồ sơ hợp lệ, trong thời hạn 05 ngày làm việc kể từ ngày nhận hồ sơ, Bộ Công Thương thực hiện đăng ký hoạt động nhượng quyền thương mại vào Sổ đăng ký và thông báo bằng văn bản cho thương nhân về việc đăng ký đó. Nếu từ chối việc đăng ký, Bộ Công Thương phải thông báo bằng văn bản cho thương nhân và nêu rõ lý do.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Mau don chap thuan dang ky hoat dong nhuong quyen vao Vietnam</w:t>
            </w:r>
          </w:p>
        </w:tc>
        <w:tc>
          <w:p/>
          <w:p>
            <w:pPr>
              <w:spacing w:after="0" w:before="0" w:lineRule="auto" w:line="276"/>
              <w:jc w:val="left"/>
            </w:pPr>
            <w:r>
              <w:rPr>
                <w:rFonts w:ascii="Times New Roman" w:hAnsi="Times New Roman" w:cs="Times New Roman" w:eastAsia="Times New Roman"/>
                <w:b w:val="false"/>
                <w:sz w:val="26"/>
              </w:rPr>
              <w:t>034.1. Mau don chap thuan dang ky hoat dong nhuong quyen vao Vietnam.doc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Kế hoạch - 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CHẤP THUẬN ĐĂNG KÝ HOẠT ĐỘNG NHƯỢNG QUYỀN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125/2014/NĐ-CP</w:t>
            </w:r>
          </w:p>
        </w:tc>
        <w:tc>
          <w:p/>
          <w:p>
            <w:pPr>
              <w:spacing w:after="0" w:before="0" w:lineRule="auto" w:line="276"/>
              <w:jc w:val="left"/>
            </w:pPr>
            <w:r>
              <w:rPr>
                <w:rFonts w:ascii="Times New Roman" w:hAnsi="Times New Roman" w:cs="Times New Roman" w:eastAsia="Times New Roman"/>
                <w:b w:val="false"/>
                <w:sz w:val="26"/>
              </w:rPr>
              <w:t>Sửa đổi, bổ sung quy định về dịch vụ giám định thương mại tại Nghị định số 120/2011/NĐ-CP ngày 16 tháng 12 năm 2011 và nghị định số 20/2006/NĐ-CP ngày 20 tháng 02 năm 2006</w:t>
            </w:r>
          </w:p>
        </w:tc>
        <w:tc>
          <w:p/>
          <w:p>
            <w:pPr>
              <w:spacing w:after="0" w:before="0" w:lineRule="auto" w:line="276"/>
              <w:jc w:val="left"/>
            </w:pPr>
            <w:r>
              <w:rPr>
                <w:rFonts w:ascii="Times New Roman" w:hAnsi="Times New Roman" w:cs="Times New Roman" w:eastAsia="Times New Roman"/>
                <w:b w:val="false"/>
                <w:sz w:val="26"/>
              </w:rPr>
              <w:t>26-08-2019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04/2016/TT-BCT</w:t>
            </w:r>
          </w:p>
        </w:tc>
        <w:tc>
          <w:p/>
          <w:p>
            <w:pPr>
              <w:spacing w:after="0" w:before="0" w:lineRule="auto" w:line="276"/>
              <w:jc w:val="left"/>
            </w:pPr>
            <w:r>
              <w:rPr>
                <w:rFonts w:ascii="Times New Roman" w:hAnsi="Times New Roman" w:cs="Times New Roman" w:eastAsia="Times New Roman"/>
                <w:b w:val="false"/>
                <w:sz w:val="26"/>
              </w:rPr>
              <w:t>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p>
        </w:tc>
        <w:tc>
          <w:p/>
          <w:p>
            <w:pPr>
              <w:spacing w:after="0" w:before="0" w:lineRule="auto" w:line="276"/>
              <w:jc w:val="left"/>
            </w:pPr>
            <w:r>
              <w:rPr>
                <w:rFonts w:ascii="Times New Roman" w:hAnsi="Times New Roman" w:cs="Times New Roman" w:eastAsia="Times New Roman"/>
                <w:b w:val="false"/>
                <w:sz w:val="26"/>
              </w:rPr>
              <w:t>06-06-2016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09/2006/TT-BTM</w:t>
            </w:r>
          </w:p>
        </w:tc>
        <w:tc>
          <w:p/>
          <w:p>
            <w:pPr>
              <w:spacing w:after="0" w:before="0" w:lineRule="auto" w:line="276"/>
              <w:jc w:val="left"/>
            </w:pPr>
            <w:r>
              <w:rPr>
                <w:rFonts w:ascii="Times New Roman" w:hAnsi="Times New Roman" w:cs="Times New Roman" w:eastAsia="Times New Roman"/>
                <w:b w:val="false"/>
                <w:sz w:val="26"/>
              </w:rPr>
              <w:t>Thông tư Hướng dẫn đăng ký hoạt động nhượng quyền thương mại</w:t>
            </w:r>
          </w:p>
        </w:tc>
        <w:tc>
          <w:p/>
          <w:p>
            <w:pPr>
              <w:spacing w:after="0" w:before="0" w:lineRule="auto" w:line="276"/>
              <w:jc w:val="left"/>
            </w:pPr>
            <w:r>
              <w:rPr>
                <w:rFonts w:ascii="Times New Roman" w:hAnsi="Times New Roman" w:cs="Times New Roman" w:eastAsia="Times New Roman"/>
                <w:b w:val="false"/>
                <w:sz w:val="26"/>
              </w:rPr>
              <w:t>25-05-2006</w:t>
            </w:r>
          </w:p>
        </w:tc>
        <w:tc>
          <w:p/>
        </w:tc>
      </w:tr>
      <w:tr>
        <w:tc>
          <w:p/>
          <w:p>
            <w:pPr>
              <w:spacing w:after="0" w:before="0" w:lineRule="auto" w:line="276"/>
              <w:jc w:val="left"/>
            </w:pPr>
            <w:r>
              <w:rPr>
                <w:rFonts w:ascii="Times New Roman" w:hAnsi="Times New Roman" w:cs="Times New Roman" w:eastAsia="Times New Roman"/>
                <w:b w:val="false"/>
                <w:sz w:val="26"/>
              </w:rPr>
              <w:t>35/2006/NĐ-CP</w:t>
            </w:r>
          </w:p>
        </w:tc>
        <w:tc>
          <w:p/>
          <w:p>
            <w:pPr>
              <w:spacing w:after="0" w:before="0" w:lineRule="auto" w:line="276"/>
              <w:jc w:val="left"/>
            </w:pPr>
            <w:r>
              <w:rPr>
                <w:rFonts w:ascii="Times New Roman" w:hAnsi="Times New Roman" w:cs="Times New Roman" w:eastAsia="Times New Roman"/>
                <w:b w:val="false"/>
                <w:sz w:val="26"/>
              </w:rPr>
              <w:t>Nghị định Quy định chi tiết luật thương mại về hoạt động  nhượng quyền thương mại</w:t>
            </w:r>
          </w:p>
        </w:tc>
        <w:tc>
          <w:p/>
          <w:p>
            <w:pPr>
              <w:spacing w:after="0" w:before="0" w:lineRule="auto" w:line="276"/>
              <w:jc w:val="left"/>
            </w:pPr>
            <w:r>
              <w:rPr>
                <w:rFonts w:ascii="Times New Roman" w:hAnsi="Times New Roman" w:cs="Times New Roman" w:eastAsia="Times New Roman"/>
                <w:b w:val="false"/>
                <w:sz w:val="26"/>
              </w:rPr>
              <w:t>31-03-2006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2025-11-27T08:34:48Z</dcterms:created>
  <dc:creator>Apache POI</dc:creator>
</cp:coreProperties>
</file>