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gia hạn Giấy chứng nhận đủ điều kiện hoạt động kiểm định kỹ thuật an toàn lao động thuộc thẩm quyền cấp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Tổ chức kiểm định nộp hồ sơ đề nghị cấp gia hạn Giấy chứng nhận đủ điều kiện hoạt động kiểm định kỹ thuật an toàn lao động, phí thẩm định theo quy định của Bộ Tài chính tại Cục Kỹ thuật an toàn và Môi trường công nghiệp. 
- Cục Kỹ thuật an toàn và Môi trường công nghiệp kiểm tra tính hợp lệ, đầy đủ của hồ sơ. Trường hợp hồ sơ không đầy đủ, hợp lệ, Cục thông báo bằng văn bản cho tổ chức kiểm định để hoàn chỉnh hồ sơ.
- Trường hợp hồ sơ đầy đủ, hợp lệ, Cục thẩm định nội dung hồ sơ, trường hợp cần thiết, thẩm tra thực tế. Nếu hồ sơ đáp ứng đủ điều kiện, trong thời hạn 30 ngày làm việc, Cục xem xét, thẩm định và cấp Giấy chứng nhận đủ điều kiện. 
- Nếu hồ sơ không đáp ứng đủ điều kiện, Cục trả lời bằng văn bản cho tổ chức kiểm định, nêu rõ lý do không cấp Giấy chứng nhận đủ điều kiện.
- Tổ chức kiểm định nhận Giấy chứng nhận đủ điều kiện trực tiếp tại Cục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Giấy chứng nhận;Phụ lục Ia Nghị định số 44/2016/NĐ-CP</w:t>
            </w:r>
          </w:p>
        </w:tc>
        <w:tc>
          <w:p/>
          <w:p>
            <w:pPr>
              <w:spacing w:after="0" w:before="0" w:lineRule="auto" w:line="276"/>
              <w:jc w:val="left"/>
            </w:pPr>
            <w:r>
              <w:rPr>
                <w:rFonts w:ascii="Times New Roman" w:hAnsi="Times New Roman" w:cs="Times New Roman" w:eastAsia="Times New Roman"/>
                <w:b w:val="false"/>
                <w:sz w:val="26"/>
              </w:rPr>
              <w:t>MẪU ĐƠN ĐỀ NGHỊ CẤP LẠI- GH.doc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quy định tại các Điểm b, c, d và đ Khoản 2 Điều 1 Nghị định số 140/2018/NĐ-CP trong trường hợp có sự thay đổi, cụ thể như sau:  	  Danh sách kiểm định viên (theo Mẫu 06 Phụ lục Ia Nghị định số 140/2018/NĐ-CP);</w:t>
            </w:r>
          </w:p>
        </w:tc>
        <w:tc>
          <w:p/>
          <w:p>
            <w:pPr>
              <w:spacing w:after="0" w:before="0" w:lineRule="auto" w:line="276"/>
              <w:jc w:val="left"/>
            </w:pPr>
            <w:r>
              <w:rPr>
                <w:rFonts w:ascii="Times New Roman" w:hAnsi="Times New Roman" w:cs="Times New Roman" w:eastAsia="Times New Roman"/>
                <w:b w:val="false"/>
                <w:sz w:val="26"/>
              </w:rPr>
              <w:t>PHỤ LỤC M6.docx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Một trong các tài liệu sau để chứng minh kinh nghiệm của người phụ trách kỹ thuật hoạt động kiểm định: 	+ Bản sao sổ hoặc tờ rời về tham gia bảo hiểm xã hội;	 	+ Bản sao hợp đồng lao động;	 	+ Bản sao biên bản kiểm định kèm theo giấy chứng nhận kết quả kiểm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 hạn Giấy chứng nhận đủ điều kiện hoạt động kiểm định kỹ thuật an toàn lao động thuộc thẩm quyền cấp của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được cấp Giấy chứng nhận đủ điều kiện hoạt động kiểm định kỹ thuật an toàn lao động phải đáp ứng đủ các điều kiện sau đây:
+ Bảo đảm thiết bị, dụng cụ phục vụ kiểm định cho từng đối tượng thuộc phạm vi kiểm định, theo yêu cầu của quy trình kiểm định, quy chuẩn kỹ thuật quốc gia về an toàn, vệ sinh lao động.
+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
+ Người phụ trách kỹ thuật hoạt động kiểm định của tổ chức phải có thời gian làm kiểm định viên tối thiểu 02 năm.
- Các thiết bị, nhân lực nêu trên chỉ được sử dụng để làm điều kiện đề nghị cấp  Giấy chứng nhận đủ điều kiện hoạt động kiểm định kỹ thuật an toàn lao động đối với một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Gia hạn Giấy chứng nhận đủ điều kiện hoạt động kiểm định kỹ thuật an toàn lao động, Gia hạn Giấy chứng nhận, Giấy chứng nhận, Kiểm định, Hoạt động kiểm định, Bộ Công Thương, 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2025-11-27T08:35:05Z</dcterms:created>
  <dc:creator>Apache POI</dc:creator>
</cp:coreProperties>
</file>