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2.000190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688A/QĐ-BCT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bán buôn sản phẩm thuốc lá</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bán buôn sản phẩm thuốc lá gửi 01 bộ hồ sơ về Sở Công Thương.
+ Sở Công Thương kiểm tra và tiếp nhận hồ sơ của thương nhân, Sở Công Thương xem xét và cấp giấy phép bán buôn sản phẩm thuốc lá. Trường hợp thương nhân không đáp ứng được điều kiện theo quy định, Sở Công Thương sẽ có văn bản trả lời từ chối cấp phép và nêu rõ lý do; 
+ Trường hợp chưa đủ hồ sơ hợp lệ, trong vòng 07 ngày làm việc kể từ ngày tiếp nhận hồ sơ của thương nhân, Sở Công Thương có văn bản yêu cầu thương nhân bổ sung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Phí Thẩm định: Tại thành phố và các thị xã: 1.200.000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p>
            <w:pPr>
              <w:spacing w:after="0" w:before="0" w:lineRule="auto" w:line="276"/>
              <w:jc w:val="left"/>
            </w:pPr>
            <w:r>
              <w:rPr>
                <w:rFonts w:ascii="Times New Roman" w:hAnsi="Times New Roman" w:cs="Times New Roman" w:eastAsia="Times New Roman"/>
                <w:b w:val="false"/>
                <w:sz w:val="26"/>
              </w:rPr>
              <w:t xml:space="preserve">Phí : Phí Thẩm định:Tại các huyện: 600.000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tc>
        <w:tc>
          <w:p/>
          <w:p>
            <w:pPr>
              <w:spacing w:after="0" w:before="0" w:lineRule="auto" w:line="276"/>
              <w:jc w:val="left"/>
            </w:pPr>
            <w:r>
              <w:rPr>
                <w:rFonts w:ascii="Times New Roman" w:hAnsi="Times New Roman" w:cs="Times New Roman" w:eastAsia="Times New Roman"/>
                <w:b w:val="false"/>
                <w:sz w:val="26"/>
              </w:rPr>
              <w:t>- Nộp trực tiếp tại Bộ phận tiếp nhận và trả kết quả tại Trung tâm Phục vụ hành chính công tỉnh;
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Phí Thẩm định:Tại các huyện: 600.000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p>
            <w:pPr>
              <w:spacing w:after="0" w:before="0" w:lineRule="auto" w:line="276"/>
              <w:jc w:val="left"/>
            </w:pPr>
            <w:r>
              <w:rPr>
                <w:rFonts w:ascii="Times New Roman" w:hAnsi="Times New Roman" w:cs="Times New Roman" w:eastAsia="Times New Roman"/>
                <w:b w:val="false"/>
                <w:sz w:val="26"/>
              </w:rPr>
              <w:t xml:space="preserve">Phí : Phí Thẩm định: Tại thành phố và các thị xã: 1.200.000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tc>
        <w:tc>
          <w:p/>
          <w:p>
            <w:pPr>
              <w:spacing w:after="0" w:before="0" w:lineRule="auto" w:line="276"/>
              <w:jc w:val="left"/>
            </w:pPr>
            <w:r>
              <w:rPr>
                <w:rFonts w:ascii="Times New Roman" w:hAnsi="Times New Roman" w:cs="Times New Roman" w:eastAsia="Times New Roman"/>
                <w:b w:val="false"/>
                <w:sz w:val="26"/>
              </w:rPr>
              <w:t>- Trực tuyến qua Cổng dịch vụ công tỉnh.
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Phí Thẩm định:Tại các huyện: 600.000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p>
            <w:pPr>
              <w:spacing w:after="0" w:before="0" w:lineRule="auto" w:line="276"/>
              <w:jc w:val="left"/>
            </w:pPr>
            <w:r>
              <w:rPr>
                <w:rFonts w:ascii="Times New Roman" w:hAnsi="Times New Roman" w:cs="Times New Roman" w:eastAsia="Times New Roman"/>
                <w:b w:val="false"/>
                <w:sz w:val="26"/>
              </w:rPr>
              <w:t xml:space="preserve">Phí : Phí Thẩm định: Tại thành phố và các thị xã: 1.200.000 đồng/điểm kinh doanh/lần thẩm định. </w:t>
              <w:t xml:space="preserve">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Giấy phép bán buôn sản phẩm thuốc lá (Bản chính - theo mẫu Phụ lục 21 Thông tư số 57/2018/TT-BCT);</w:t>
            </w:r>
          </w:p>
        </w:tc>
        <w:tc>
          <w:p/>
          <w:p>
            <w:pPr>
              <w:spacing w:after="0" w:before="0" w:lineRule="auto" w:line="276"/>
              <w:jc w:val="left"/>
            </w:pPr>
            <w:r>
              <w:rPr>
                <w:rFonts w:ascii="Times New Roman" w:hAnsi="Times New Roman" w:cs="Times New Roman" w:eastAsia="Times New Roman"/>
                <w:b w:val="false"/>
                <w:sz w:val="26"/>
              </w:rPr>
              <w:t>Phụ lục 21.docx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kinh doanh hoặc Giấy chứng nhận đăng ký kinh doanh và Giấy chứng nhận mã số thuế;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các văn bản giới thiệu của Nhà cung cấp sản phẩm thuốc lá hoặc các thương nhân phân phối sản phẩm thuốc lá ghi rõ địa bàn dự kiến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Bảng kê danh sách thương nhân, bản sao Giấy chứng nhận đăng ký doanh nghiệp hoặc Giấy chứng nhận đăng ký kinh doanh và Giấy chứng nhận mã số thuế, Giấy phép kinh doanh sản phẩm thuốc lá (nếu đã kinh doanh) của các thương nhân đã hoặc sẽ thuộc hệ thống phân phối sản phẩm thuốc lá trên địa bàn;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Số lượng hồ sơ: Thương nhân bán buôn sản phẩm thuốc lá đề nghị cấp Giấy phép bán buôn sản phẩm thuốc lá lập 02 bộ hồ sơ theo quy định, 01 bộ gửi Sở Công Thương, thương nhân lưu 01 bộ;</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bán buôn sản phẩm thuốc lá</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09/2012/QH13</w:t>
            </w:r>
          </w:p>
        </w:tc>
        <w:tc>
          <w:p/>
          <w:p>
            <w:pPr>
              <w:spacing w:after="0" w:before="0" w:lineRule="auto" w:line="276"/>
              <w:jc w:val="left"/>
            </w:pPr>
            <w:r>
              <w:rPr>
                <w:rFonts w:ascii="Times New Roman" w:hAnsi="Times New Roman" w:cs="Times New Roman" w:eastAsia="Times New Roman"/>
                <w:b w:val="false"/>
                <w:sz w:val="26"/>
              </w:rPr>
              <w:t>Luật 09/2012/QH13</w:t>
            </w:r>
          </w:p>
        </w:tc>
        <w:tc>
          <w:p/>
          <w:p>
            <w:pPr>
              <w:spacing w:after="0" w:before="0" w:lineRule="auto" w:line="276"/>
              <w:jc w:val="left"/>
            </w:pPr>
            <w:r>
              <w:rPr>
                <w:rFonts w:ascii="Times New Roman" w:hAnsi="Times New Roman" w:cs="Times New Roman" w:eastAsia="Times New Roman"/>
                <w:b w:val="false"/>
                <w:sz w:val="26"/>
              </w:rPr>
              <w:t>18-06-2012</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Phòng, chống tác hại của thuốc lá về kinh doanh thuốc lá</w:t>
            </w:r>
          </w:p>
        </w:tc>
        <w:tc>
          <w:p/>
          <w:p>
            <w:pPr>
              <w:spacing w:after="0" w:before="0" w:lineRule="auto" w:line="276"/>
              <w:jc w:val="left"/>
            </w:pPr>
            <w:r>
              <w:rPr>
                <w:rFonts w:ascii="Times New Roman" w:hAnsi="Times New Roman" w:cs="Times New Roman" w:eastAsia="Times New Roman"/>
                <w:b w:val="false"/>
                <w:sz w:val="26"/>
              </w:rPr>
              <w:t>27-06-2013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Sửa đổi một số Nghị định liên quan đến điều kiện đầu tư kinh doanh thuộc phạm vi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106/2017/NĐ-CP</w:t>
            </w:r>
          </w:p>
        </w:tc>
        <w:tc>
          <w:p/>
          <w:p>
            <w:pPr>
              <w:spacing w:after="0" w:before="0" w:lineRule="auto" w:line="276"/>
              <w:jc w:val="left"/>
            </w:pPr>
            <w:r>
              <w:rPr>
                <w:rFonts w:ascii="Times New Roman" w:hAnsi="Times New Roman" w:cs="Times New Roman" w:eastAsia="Times New Roman"/>
                <w:b w:val="false"/>
                <w:sz w:val="26"/>
              </w:rPr>
              <w:t>Nghị định 106/2017/NĐ-CP</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57/2018/TT-BCT</w:t>
            </w:r>
          </w:p>
        </w:tc>
        <w:tc>
          <w:p/>
          <w:p>
            <w:pPr>
              <w:spacing w:after="0" w:before="0" w:lineRule="auto" w:line="276"/>
              <w:jc w:val="left"/>
            </w:pPr>
            <w:r>
              <w:rPr>
                <w:rFonts w:ascii="Times New Roman" w:hAnsi="Times New Roman" w:cs="Times New Roman" w:eastAsia="Times New Roman"/>
                <w:b w:val="false"/>
                <w:sz w:val="26"/>
              </w:rPr>
              <w:t>Thông tư 57/2018/TT-BCT</w:t>
            </w:r>
          </w:p>
        </w:tc>
        <w:tc>
          <w:p/>
          <w:p>
            <w:pPr>
              <w:spacing w:after="0" w:before="0" w:lineRule="auto" w:line="276"/>
              <w:jc w:val="left"/>
            </w:pPr>
            <w:r>
              <w:rPr>
                <w:rFonts w:ascii="Times New Roman" w:hAnsi="Times New Roman" w:cs="Times New Roman" w:eastAsia="Times New Roman"/>
                <w:b w:val="false"/>
                <w:sz w:val="26"/>
              </w:rPr>
              <w:t>28-12-2018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28/2019/TT-BCT</w:t>
            </w:r>
          </w:p>
        </w:tc>
        <w:tc>
          <w:p/>
          <w:p>
            <w:pPr>
              <w:spacing w:after="0" w:before="0" w:lineRule="auto" w:line="276"/>
              <w:jc w:val="left"/>
            </w:pPr>
            <w:r>
              <w:rPr>
                <w:rFonts w:ascii="Times New Roman" w:hAnsi="Times New Roman" w:cs="Times New Roman" w:eastAsia="Times New Roman"/>
                <w:b w:val="false"/>
                <w:sz w:val="26"/>
              </w:rPr>
              <w:t>Thông tư 28/2019/TT-BCT</w:t>
            </w:r>
          </w:p>
        </w:tc>
        <w:tc>
          <w:p/>
          <w:p>
            <w:pPr>
              <w:spacing w:after="0" w:before="0" w:lineRule="auto" w:line="276"/>
              <w:jc w:val="left"/>
            </w:pPr>
            <w:r>
              <w:rPr>
                <w:rFonts w:ascii="Times New Roman" w:hAnsi="Times New Roman" w:cs="Times New Roman" w:eastAsia="Times New Roman"/>
                <w:b w:val="false"/>
                <w:sz w:val="26"/>
              </w:rPr>
              <w:t>15-11-2019</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Là doanh nghiệp được thành lập theo quy định của pháp luật ;
b) Địa điểm kinh doanh không vi phạm quy định về địa điểm không được bán thuốc lá theo quy định tại Khoản 2 Điều 25 (Bán thuốc lá) Luật Phòng, chống tác hại của thuốc lá năm 2012; 
c) Có hệ thống bán buôn sản phẩm thuốc lá trên địa bàn tỉnh nơi thương nhân đặt trụ sở chính (tối thiểu phải từ 02 thương nhân bán lẻ sản phẩm thuốc lá trở lên);
d) Có văn bản giới thiệu của Nhà cung cấp sản phẩm thuốc lá hoặc của các thương nhân phân phối sản phẩm thuốc lá ghi rõ địa bàn dự kiến kinh doanh;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https://thutuc.dichvucong.gov.vn/p/home/dvc-tthc-thu-tuc-hanh-chinh-chi-tiet.html?ma_thu_tuc=619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2025-11-27T08:35:10Z</dcterms:created>
  <dc:creator>Apache POI</dc:creator>
</cp:coreProperties>
</file>