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mua bán nguyên liệu thuốc lá tổ chức, cá nhân phải lập 01 bộ hồ sơ gửi về Sở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sửa đổi, bổ sung Giấy phép mua bán nguyên liệu thuốc lá. Trường hợp tổ chức, cá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phép mua bán nguyên liệu thuốc lá (Bản chính - theo mẫu Phụ lục 28 Thông tư số 57/2018/TT-BCT);</w:t>
            </w:r>
          </w:p>
        </w:tc>
        <w:tc>
          <w:p/>
          <w:p>
            <w:pPr>
              <w:spacing w:after="0" w:before="0" w:lineRule="auto" w:line="276"/>
              <w:jc w:val="left"/>
            </w:pPr>
            <w:r>
              <w:rPr>
                <w:rFonts w:ascii="Times New Roman" w:hAnsi="Times New Roman" w:cs="Times New Roman" w:eastAsia="Times New Roman"/>
                <w:b w:val="false"/>
                <w:sz w:val="26"/>
              </w:rPr>
              <w:t>Phụ lục 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mua bán nguyên liệu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2025-11-27T08:35:25Z</dcterms:created>
  <dc:creator>Apache POI</dc:creator>
</cp:coreProperties>
</file>