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sản xuất thuốc lá nộp 01 bộ hồ sơ đề nghị cấp sửa đổi, bổ sung Giấy phép sản xuất sản phẩm thuốc lá cho Bộ Công Thương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đủ hồ sơ hợp lệ, cơ quan có thẩm quyền xem xét và cấp lại Giấy phép sản xuất sản phẩm thuốc lá.</w:t>
      </w:r>
    </w:p>
    <w:p>
      <w:pPr>
        <w:spacing w:after="0" w:before="0" w:lineRule="auto" w:line="276"/>
        <w:jc w:val="both"/>
      </w:pPr>
      <w:r>
        <w:rPr>
          <w:rFonts w:ascii="Times New Roman" w:hAnsi="Times New Roman" w:cs="Times New Roman" w:eastAsia="Times New Roman"/>
          <w:b w:val="false"/>
          <w:sz w:val="26"/>
        </w:rPr>
        <w:t>+ Trường hợp doanh nghiệp không đáp ứng được điều kiện theo quy định, Bộ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sửa đổi, bổ sung;</w:t>
            </w:r>
          </w:p>
        </w:tc>
        <w:tc>
          <w:p/>
          <w:p>
            <w:pPr>
              <w:spacing w:after="0" w:before="0" w:lineRule="auto" w:line="276"/>
              <w:jc w:val="left"/>
            </w:pPr>
            <w:r>
              <w:rPr>
                <w:rFonts w:ascii="Times New Roman" w:hAnsi="Times New Roman" w:cs="Times New Roman" w:eastAsia="Times New Roman"/>
                <w:b w:val="false"/>
                <w:sz w:val="26"/>
              </w:rPr>
              <w:t>Phụ lục 32.docx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sửa đổi, bổ sung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đang sản xuất sản phẩm thuốc lá trước thời điểm ban hành Nghị quyết số 12/2000/NQ-CP ngày 14 tháng 8 năm 2000 của Chính phủ về Chính sách quốc gia phòng, chống tác hại thuốc lá trong giai đoạn 2000 - 2010 hoặc doanh nghiệp đã được Thủ tướng Chính phủ đồng ý về chủ trương đầu tư trong trường hợp sáp nhập, liên doanh để sản xuất thuốc lá.
- Điều kiện về đầu tư và sử dụng nguyên liệu thuốc lá được trồng trong nước:
+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 
+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 
- Điều kiện về máy móc thiết bị:
Có máy móc thiết bị chuyên ngành gồm các công đoạn chính: Cuốn điếu, đóng bao;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2025-11-27T08:35:57Z</dcterms:created>
  <dc:creator>Apache POI</dc:creator>
</cp:coreProperties>
</file>