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kinh doanh cho tổ chức kinh tế có vốn đầu tư nước ngoài để thực hiện quyền phân phối bán lẻ các hàng hóa là gạo; đường; vật phẩm ghi hình; sách, báo và tạp chí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kinh tế có vốn đầu tư nước ngoài đề nghị cấp Giấy phép kinh doanh lập 03 bộ hồ sơ gửi trực tiếp hoặc qua đường bưu chính hoặc hệ thống dịch vụ công trực tuyến đến Ủy ban nhân dân cấp tỉnh nơi tổ chức kinh tế đặt trụ sở chính. 
-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được tính vào thời gian cấp Giấy phép kinh doanh;
- Trong thời hạn 10 ngày làm việc, kể từ ngày nhận đủ hồ sơ hợp lệ quy định Ủy ban nhân dân cấp tỉnh nơi tổ chức kinh tế có vốn đầu tư nước ngoài đặt trụ sở chính có trách nhiệm xem xét việc đáp ứng điều kiện. 
+ Trường hợp không cấp Giấy phép kinh doanh, Ủy ban nhân dân cấp tỉnh phải có văn bản trả lời và nêu rõ lý do.
+ Trường hợp đáp ứng điều kiện, Ủy ban nhân dân cấp tỉnh gửi hồ sơ kèm văn bản lấy ý kiến Ủy ban nhân dân cấp tỉnh. 
- Trong thời hạn 15 ngày kể từ ngày nhận được hồ sơ, Ủy ban nhân dân cấp tỉnh xem xét các nội dung tương ứng quy định tại Điều 10 Nghị định 09/2018/NĐ-CP ngày 15/01/2018 để có văn bản chấp thuận cấp Giấy phép kinh doanh; trường hợp từ chối phải có văn bản trả lời và nêu rõ lý do.
- Trong thời hạn 03 ngày làm việc kể từ ngày nhận được văn bản chấp thuận của Ủy ban nhân dân cấp tỉnh, Ủy ban nhân dân cấp tỉnh cấp Giấy phép kinh doanh. Trường hợp Ủy ban nhân dân cấp tỉnh có văn bản từ chối, Ủy ban nhân dân cấp tỉnh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 tạiUBND cấp tỉnh nơi tổ chức kinh tế có vốn đầu tư nước ngoài đặt trụ sở chính. 
28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hệ thống dịch vụ công trực tuyến (nếu đủ điều kiện áp dụng).
28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
28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kinh doanh (Mẫu số 01 tại Phụ lục ban hành kèm theo Nghị định 09/2018/NĐ-CP ngày 15/01/2018)</w:t>
            </w:r>
          </w:p>
        </w:tc>
        <w:tc>
          <w:p/>
          <w:p>
            <w:pPr>
              <w:spacing w:after="0" w:before="0" w:lineRule="auto" w:line="276"/>
              <w:jc w:val="left"/>
            </w:pPr>
            <w:r>
              <w:rPr>
                <w:rFonts w:ascii="Times New Roman" w:hAnsi="Times New Roman" w:cs="Times New Roman" w:eastAsia="Times New Roman"/>
                <w:b w:val="false"/>
                <w:sz w:val="26"/>
              </w:rPr>
              <w:t>01MĐ-Đơn cấp GPKD.doc</w:t>
            </w:r>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giải trình có nội dung theo quy định tại khoản 2 Điều 12 Nghị định 09/2018/NĐ-CP ngày 15/01/2018 của Chính phủ</w:t>
            </w:r>
          </w:p>
        </w:tc>
        <w:tc>
          <w:p/>
          <w:p>
            <w:pPr>
              <w:spacing w:after="0" w:before="0" w:lineRule="auto" w:line="276"/>
              <w:jc w:val="left"/>
            </w:pPr>
            <w:r>
              <w:rPr>
                <w:rFonts w:ascii="Times New Roman" w:hAnsi="Times New Roman" w:cs="Times New Roman" w:eastAsia="Times New Roman"/>
                <w:b w:val="false"/>
                <w:sz w:val="26"/>
              </w:rPr>
              <w:t>09CV-Sở hỏi Bộ.doc</w:t>
            </w:r>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3</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đầu tư dự án hoạt động mua bán hàng hóa và các hoạt động liên quan trực tiếp đến mua bán hàng hóa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3</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HOẠT ĐỘNG MUA BÁN HÀNG HÓA VÀ CÁC HOẠT ĐỘNG LIÊN QUAN TRỰC TIẾP ĐẾN MUA BÁN HÀNG HÓA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kế hoạch về tài chính để thực hiện hoạt động đề nghị cấp Giấy phép kinh doanh;
- Không còn nợ thuế quá hạn trong trường hợp đã thành lập tại Việt Nam từ 01 năm trở lên.
- Đáp ứng các tiêu chí:
+ Phù hợp với quy định của pháp luật chuyên ngành;
+ Phù hợp với mức độ cạnh tranh của doanh nghiệp trong nước trong cùng lĩnh vực hoạt động;
+ Khả năng tạo việc làm cho lao động trong nước;
+ Khả năng và mức độ đóng góp cho ngân sách nhà nước.
- Tổ chức kinh tế có vốn đầu tư nước ngoài đã có cơ sở bán lẻ dưới hình thức siêu thị, siêu thị mini, cửa hàng tiện lợi để bán lẻ tại các cơ sở đó.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2025-11-27T08:37:57Z</dcterms:created>
  <dc:creator>Apache POI</dc:creator>
</cp:coreProperties>
</file>