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trạm nạp LNG vào phương tiện vận tải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Sở Công Thương</w:t>
      </w:r>
    </w:p>
    <w:p>
      <w:pPr>
        <w:spacing w:after="0" w:before="0" w:lineRule="auto" w:line="276"/>
        <w:jc w:val="both"/>
      </w:pPr>
      <w:r>
        <w:rPr>
          <w:rFonts w:ascii="Times New Roman" w:hAnsi="Times New Roman" w:cs="Times New Roman" w:eastAsia="Times New Roman"/>
          <w:b w:val="false"/>
          <w:sz w:val="26"/>
        </w:rPr>
        <w:t>Trường hợp thương nhân chưa đủ hồ sơ hợp lệ, Sở Công Thương có thẩm quyền có văn bản yêu cầu thương nhân bổ sung</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được hồ sơ đầy đủ và hợp lệ, Sở Công Thương có thẩm quyền có trách nhiệm xem xét, thẩm định và cấp Giấy chứng nhận đủ điều kiện cho thương nhân. Trường hợp từ chối cấp Giấy chứng nhận phải trả lời bằng văn bản và nêu rõ lý do</w:t>
      </w:r>
    </w:p>
    <w:p>
      <w:pPr>
        <w:spacing w:after="0" w:before="0" w:lineRule="auto" w:line="276"/>
        <w:jc w:val="both"/>
      </w:pPr>
      <w:r>
        <w:rPr>
          <w:rFonts w:ascii="Times New Roman" w:hAnsi="Times New Roman" w:cs="Times New Roman" w:eastAsia="Times New Roman"/>
          <w:b w:val="false"/>
          <w:sz w:val="26"/>
        </w:rPr>
        <w:t>Thời hạn của giấy chứng nhận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chứng minh trạm nạp được cấp có thẩm quyền cho phép đầu tư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Giấy chứng nhận đủ điều kiện trạm nạp theo Mẫu số 07 tại Phụ lục kèm theo Nghị định 87/2017/NĐ-CP</w:t>
            </w:r>
          </w:p>
        </w:tc>
        <w:tc>
          <w:p/>
          <w:p>
            <w:pPr>
              <w:spacing w:after="0" w:before="0" w:lineRule="auto" w:line="276"/>
              <w:jc w:val="left"/>
            </w:pPr>
            <w:r>
              <w:rPr>
                <w:rFonts w:ascii="Times New Roman" w:hAnsi="Times New Roman" w:cs="Times New Roman" w:eastAsia="Times New Roman"/>
                <w:b w:val="false"/>
                <w:sz w:val="26"/>
              </w:rPr>
              <w:t>Mẫu số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NẠP LPG/LNG/CNG VÀO PHƯƠNG TIỆN VẬN TẢI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Trạm nạp phải thuộc thương nhân được thành lập theo quy định của pháp luật.
2. Trạm nạp phải được cấp có thẩm quyền cho phép đầu tư xây dựng.
3. Đáp ứng các điều kiện về phòng cháy và chữa cháy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2025-11-27T08:38:10Z</dcterms:created>
  <dc:creator>Apache POI</dc:creator>
</cp:coreProperties>
</file>