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2.000521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quá cảnh đối với hàng hóa thuộc danh mục cấm của Việt Nam nhưng không thuộc danh mục cấm của Campuchia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Chủ hàng gửi Hồ sơ đề nghị cho phép quá cảnh hàng hóa đến Cục Xuất nhập khẩu - Bộ Công Thương
Thời hạn giải quyết hồ sơ là 07 (bảy) ngày làm việc, kể từ ngày nhận đủ hồ sơ hợp lệ.
Trường hợp hồ sơ chưa đầy đủ, chưa hợp lệ, trong vòng 03 (ba) ngày làm việc, kể từ ngày nhận được hồ sơ, cơ quan tiếp nhận hồ sơ có văn bản gửi chủ hàng yêu cầu bổ sung, chỉnh sửa.</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Trường hợp hồ sơ chưa đầy đủ, chưa hợp lệ, trong vòng 03 (ba) ngày làm việc, kể từ ngày nhận được hồ sơ, cơ quan tiếp nhận hồ sơ có văn bản gửi chủ hàng yêu cầu bổ sung, chỉnh sửa.</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Trường hợp hồ sơ chưa đầy đủ, chưa hợp lệ, trong vòng 03 (ba) ngày làm việc, kể từ ngày nhận được hồ sơ, cơ quan tiếp nhận hồ sơ có văn bản gửi chủ hàng yêu cầu bổ sung, chỉnh sửa.</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Trường hợp hồ sơ chưa đầy đủ, chưa hợp lệ, trong vòng 03 (ba) ngày làm việc, kể từ ngày nhận được hồ sơ, cơ quan tiếp nhận hồ sơ có văn bản gửi chủ hàng yêu cầu bổ sung, chỉnh sửa.</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cho phép quá cảnh theo mẫu quy định.</w:t>
            </w:r>
          </w:p>
        </w:tc>
        <w:tc>
          <w:p/>
          <w:p>
            <w:pPr>
              <w:spacing w:after="0" w:before="0" w:lineRule="auto" w:line="276"/>
              <w:jc w:val="left"/>
            </w:pPr>
            <w:r>
              <w:rPr>
                <w:rFonts w:ascii="Times New Roman" w:hAnsi="Times New Roman" w:cs="Times New Roman" w:eastAsia="Times New Roman"/>
                <w:b w:val="false"/>
                <w:sz w:val="26"/>
              </w:rPr>
              <w:t>PHLCIII.docx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Hợp đồng vận chuyển hàng hóa quá  cảnh (trong trường hợp chủ hàng ký hợp đồng vận chuyển với doanh nghiệp Việt Nam hoặc doanh nghiệp nước thứ 3)</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quá cảnh đối với hàng hóa thuộc danh mục cấm của Việt Nam nhưng không thuộc danh mục cấm của Campuchia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9423/QĐ-BCT</w:t>
            </w:r>
          </w:p>
        </w:tc>
        <w:tc>
          <w:p/>
          <w:p>
            <w:pPr>
              <w:spacing w:after="0" w:before="0" w:lineRule="auto" w:line="276"/>
              <w:jc w:val="left"/>
            </w:pPr>
            <w:r>
              <w:rPr>
                <w:rFonts w:ascii="Times New Roman" w:hAnsi="Times New Roman" w:cs="Times New Roman" w:eastAsia="Times New Roman"/>
                <w:b w:val="false"/>
                <w:sz w:val="26"/>
              </w:rPr>
              <w:t>Thông tư số 27/2014/TT-BCT quy định về quá cảnh hàng hóa của Vương quốc Campuchia qua lãnh thổ nước Cộng hòa xã hội chủ nghĩa Việt Nam</w:t>
            </w:r>
          </w:p>
        </w:tc>
        <w:tc>
          <w:p/>
          <w:p>
            <w:pPr>
              <w:spacing w:after="0" w:before="0" w:lineRule="auto" w:line="276"/>
              <w:jc w:val="left"/>
            </w:pPr>
            <w:r>
              <w:rPr>
                <w:rFonts w:ascii="Times New Roman" w:hAnsi="Times New Roman" w:cs="Times New Roman" w:eastAsia="Times New Roman"/>
                <w:b w:val="false"/>
                <w:sz w:val="26"/>
              </w:rPr>
              <w:t>20-10-2014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Thông tư số 24/2024/TT-BCT</w:t>
            </w:r>
          </w:p>
        </w:tc>
        <w:tc>
          <w:p/>
          <w:p>
            <w:pPr>
              <w:spacing w:after="0" w:before="0" w:lineRule="auto" w:line="276"/>
              <w:jc w:val="left"/>
            </w:pPr>
            <w:r>
              <w:rPr>
                <w:rFonts w:ascii="Times New Roman" w:hAnsi="Times New Roman" w:cs="Times New Roman" w:eastAsia="Times New Roman"/>
                <w:b w:val="false"/>
                <w:sz w:val="26"/>
              </w:rPr>
              <w:t>Thông tư số 24/2024/TT-BCT</w:t>
            </w:r>
          </w:p>
        </w:tc>
        <w:tc>
          <w:p/>
          <w:p>
            <w:pPr>
              <w:spacing w:after="0" w:before="0" w:lineRule="auto" w:line="276"/>
              <w:jc w:val="left"/>
            </w:pPr>
            <w:r>
              <w:rPr>
                <w:rFonts w:ascii="Times New Roman" w:hAnsi="Times New Roman" w:cs="Times New Roman" w:eastAsia="Times New Roman"/>
                <w:b w:val="false"/>
                <w:sz w:val="26"/>
              </w:rPr>
              <w:t>08-11-2024</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https://thutuc.dichvucong.gov.vn/p/home/dvc-tthc-thu-tuc-hanh-chinh-chi-tiet.html?ma_thu_tuc=1595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2025-11-27T08:38:57Z</dcterms:created>
  <dc:creator>Apache POI</dc:creator>
</cp:coreProperties>
</file>