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2.000546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xác nhận đủ điều kiện làm thương nhân phân phối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Bộ Công Thương.
- Trường hợp chưa đủ hồ sơ hợp lệ, trong vòng bảy (07) ngày làm việc kể từ ngày tiếp nhận hồ sơ của thương nhân, Bộ Công Thương có văn bản yêu cầu thương nhân bổ sung.
- Trong thời hạn ba mươi (30) ngày làm việc kể từ khi nhận được hồ sơ hợp lệ, Bộ Công Thương có trách nhiệm xem xét, thẩm định và cấp lại Giấy xác nhận đủ điều kiện làm thương nhân phân phối xăng dầu theo Mẫu số 6 tại Phụ lục kèm theo Nghị định số 83/2014/NĐ-CP cho thương nhân. Trường hợp từ chối cấp Giấy xác nhận, Bộ Công Thương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Trường hợp Giấy xác nhận đủ điều kiện làm thương nhân phân phối xăng dầu bị mất, bị cháy, bị tiêu hủy dưới hình thức khác, thương nhân phải lập hồ sơ gửi về Bộ Công Thương đề nghị cấp lại Giấy xác nhận.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cấp lại Giấy xác nhận đủ điều kiện làm thương nhân phân phối xăng dầu theo Mẫu số 5 tại Phụ lục kèm theo Nghị định số 83/2014/NĐ-CP.</w:t>
            </w:r>
          </w:p>
        </w:tc>
        <w:tc>
          <w:p/>
          <w:p>
            <w:pPr>
              <w:spacing w:after="0" w:before="0" w:lineRule="auto" w:line="276"/>
              <w:jc w:val="left"/>
            </w:pPr>
            <w:r>
              <w:rPr>
                <w:rFonts w:ascii="Times New Roman" w:hAnsi="Times New Roman" w:cs="Times New Roman" w:eastAsia="Times New Roman"/>
                <w:b w:val="false"/>
                <w:sz w:val="26"/>
              </w:rPr>
              <w:t>Mẫu 5.doc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hoặc bản sao Giấy xác nhận đủ điều kiện làm thương nhân phân phối xăng dầu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đủ điều kiện làm thương nhân phân phối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15-11-2021</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80</w:t>
            </w:r>
          </w:p>
        </w:tc>
        <w:tc>
          <w:p/>
          <w:p>
            <w:pPr>
              <w:spacing w:after="0" w:before="0" w:lineRule="auto" w:line="276"/>
              <w:jc w:val="left"/>
            </w:pPr>
            <w:r>
              <w:rPr>
                <w:rFonts w:ascii="Times New Roman" w:hAnsi="Times New Roman" w:cs="Times New Roman" w:eastAsia="Times New Roman"/>
                <w:b w:val="false"/>
                <w:sz w:val="26"/>
              </w:rPr>
              <w:t>Nghị định số 80/2023/NĐ-CP ngày 17 tháng 11 năm 2023 của Chính phủ ban hành sửa đổi, bổ sung một số điều của Nghị định số 95/2021/ND-CP ngày 01/11/2021 và Nghị định số 83/2014/NĐ-CP ngày 03/9/2014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17-11-2023</w:t>
            </w:r>
          </w:p>
        </w:tc>
        <w:tc>
          <w:p/>
          <w:p>
            <w:pPr>
              <w:spacing w:after="0" w:before="0" w:lineRule="auto" w:line="276"/>
              <w:jc w:val="left"/>
            </w:pPr>
            <w:r>
              <w:rPr>
                <w:rFonts w:ascii="Times New Roman" w:hAnsi="Times New Roman" w:cs="Times New Roman" w:eastAsia="Times New Roman"/>
                <w:b w:val="false"/>
                <w:sz w:val="26"/>
              </w:rPr>
              <w:t>Văn phòng Chính phủ</w:t>
            </w:r>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kinh doanh xăng dầu đã được cấp Giấy xác nhận đủ điều kiện làm thương nhân phân phối xăng dầu.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https://thutuc.dichvucong.gov.vn/p/home/dvc-tthc-thu-tuc-hanh-chinh-chi-tiet.html?ma_thu_tuc=1650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2025-11-27T08:38:57Z</dcterms:created>
  <dc:creator>Apache POI</dc:creator>
</cp:coreProperties>
</file>