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phân phối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cấp lại do hết thời hạn hiệu lực:
Trước thời điểm Giấy phép phân phối sản phẩm thuốc lá ít nhất 30 ngày, thương nhân phải nộp hồ sơ đề nghị cấp lại Giấy phép phân phối sản phẩm thuốc lá trong trường hợp tiếp tục kinh doanh. Hồ sơ, thẩm quyền, trình tự, thủ tục cấp lại như đối với trường hợp cấp mới.
* Trường hợp cấp lại giấy phép do bị mất, bị tiêu hủy toàn bộ hoặc một phần, bị rách, nát hoặc bị cháy:
- Thương nhân nộp hồ sơ xin đề nghị cấp lại Giấy phép phân phối sản phẩm thuốc lá cho cơ quan nhà nước có thẩm quyền cấp Giấy phép phân phối sản phẩm thuốc lá;
- Trong thời hạn 15 ngày làm việc kể từ ngày nhận đủ hồ sơ hợp lệ, cơ quan có thẩm quyền xem xét và cấp lại Giấy phép phân phối sản phẩm thuốc lá. 
- Trường hợp thương nhân không đáp ứng được điều kiện theo quy định cơ quan có thẩm quyền cấp Giấy phép phân phối sản phẩm thuốc lá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Số lượng bộ hồ sơ: 01 bộ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w:t>
            </w:r>
          </w:p>
        </w:tc>
        <w:tc>
          <w:p/>
          <w:p>
            <w:pPr>
              <w:spacing w:after="0" w:before="0" w:lineRule="auto" w:line="276"/>
              <w:jc w:val="left"/>
            </w:pPr>
            <w:r>
              <w:rPr>
                <w:rFonts w:ascii="Times New Roman" w:hAnsi="Times New Roman" w:cs="Times New Roman" w:eastAsia="Times New Roman"/>
                <w:b w:val="false"/>
                <w:sz w:val="26"/>
              </w:rPr>
              <w:t>Mauxincaplai.docx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phân phối sản phẩm thuốc lá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phân phối sản phẩm thuốc lá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điều kiện thực hiện thủ tục hành chính (nếu có);
Giấy phép phân phối sản phẩm thuốc lá bị mất, bị tiêu hủy toàn bộ hoặc một phần, bị rách nát hoặc bị cháy.
a) Là doanh nghiệp được thành lập theo quy định của pháp luật ;
b) Có hệ thống phân phối sản phẩm thuốc lá trên địa bàn từ 02 tỉnh trở lên (tại địa bàn mỗi tỉnh, thành phố phải có tối thiểu 01 thương nhân bán buôn sản phẩm thuốc lá).
c) Có văn bản giới thiệu mua bán của Nhà cung cấp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2025-11-27T08:39:10Z</dcterms:created>
  <dc:creator>Apache POI</dc:creator>
</cp:coreProperties>
</file>