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2.000618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bổ sung, sửa đổi Giấy chứng nhận đăng ký hoạt động thử nghiệm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Tiêu chuẩn đo lường chất lượng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hợp hồ sơ không đầy đủ theo quy định, trong thời hạn 05 ngày làm việc, kể từ ngày nhận được hồ sơ, cơ quan tiếp nhận hồ sơ thông báo bằng văn bản yêu cầu tổ chức thử nghiệm sửa đổi, bổ sung;
b) Trường hợp hồ sơ đầy đủ và hợp lệ, trong thời hạn 10 ngày làm việc, kể từ khi nhận được hồ sơ, Ủy ban nhân dân tỉnh/thanh phố chịu trách nhiệm cấp Giấy chứng nhận cho tổ chức thử nghiệm theo Mẫu số 10 tại Phụ lục ban hành kèm theo Nghị định số 154/2018/NĐ-CP của Chính phủ;
c) Thời hạn hiệu lực của Giấy chứng nhận ghi theo thời hạn hiệu lực của Giấy chứng nhận đăng ký hoạt động thử nghiệm đã được cấp.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Tổ chức thử nghiệm lập 01 bộ hồ sơ theo quy định tại Điều 6 Nghị định số 107/2016/NĐ-CP của Chính phủ được sửa đổi, bổ sung bởi Nghị định số 154/2018/NĐ-CP của Chính phủ và nộp theo một trong các hình thức sau:
1. Trường hợp nộp hồ sơ trực tiếp tại trụ sở cơ quan tiếp nhận hồ sơ, bản sao các chứng chỉ, tài liệu quy định tại Điều 6 Nghị định Nghị định số 107/2016/NĐ-CP của Chính phủ được sửa đổi, bổ sung bởi Nghị định số 154/2018/NĐ-CP của Chính phủ chưa được chứng thực thì phải có bản chính để đối chiếu.
2. Trường hợp hồ sơ được gửi qua bưu điện, tổ chức thử nghiệm phải nộp bản sao đã được chứng thực các chứng chỉ, tài liệu quy định tại Điều 6 Nghị định số 107/2016/NĐ-CP của Chính phủ được sửa đổi, bổ sung bởi Nghị định số 154/2018/NĐ-CP của Chính phủ.
3. Trường hợp nộp hồ sơ qua Cổng thông tin điện tử của cơ quan tiếp nhận hồ sơ, thực hiện theo hình thức dịch vụ công trực tuyến.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Các tài liệu chứng minh năng lực hoạt động thử nghiệm bổ sung, sửa đổi đáp ứng các yêu cầu quy định tại khoản 2 Điều 5 Nghị định số 107/2016/NĐ-CP, cụ thể như sau:  + Trường hợp tổ chức thử nghiệm đã được tổ chức công nhận quy định tại Điều 21 Nghị định số 107/2016/NĐ-CP hoặc tổ chức công nhận nước ngoài quy định tại Điều 25 Nghị định số 107/2016/NĐ-CP công nhận hoạt động thử nghiệm, tổ chức thử nghiệm nộp bản sao Chứng chỉ công nhận kèm theo phạm vi được công nhận.  + Trường hợp tổ chức thử nghiệm chưa được công nhận, tổ chức thử nghiệm nộp các tài liệu, quy trình thử nghiệm và các tài liệu khác liên quan để chứng minh năng lực hoạt động phù hợp với các yêu cầu của tiêu chuẩn tương ứng quy định tại khoản 2 Điều 5 Nghị định số 107/2016/NĐ-CP.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Đơn đăng ký bổ sung, sửa đổi hoạt động thử nghiệm theo Mẫu số 05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bổ sung, sửa đổi thử nghiệm viên theo Mẫu số 02 tại Phụ lục ban hành kèm theo Nghị định số 107/2016/NĐ-CP và các chứng chỉ, tài liệu liên quan đối với mỗi thử nghiệm viên gồm: Bản sao Quyết định tuyển dụng hoặc Hợp đồng lao động; bản sao chứng chỉ đào tạo tương ứng quy định tại khoản 3 Điều 5 Nghị định số 107/2016/NĐ-CP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bổ sung, sửa đổi máy móc, thiết bị, dụng cụ thử nghiệm, đo lường phục vụ hoạt động thử nghiệm đối với lĩnh vực đăng ký theo Mẫu số 04 tại Phụ lục ban hành kèm theo Nghị định số 107/2016/NĐ-CP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HOẠT ĐỘNG CHỨNG NHẬN/ THỬ NGHIỆM/GIÁM ĐỊNH/KIỂM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68/2006/QH11</w:t>
            </w:r>
          </w:p>
        </w:tc>
        <w:tc>
          <w:p/>
          <w:p>
            <w:pPr>
              <w:spacing w:after="0" w:before="0" w:lineRule="auto" w:line="276"/>
              <w:jc w:val="left"/>
            </w:pPr>
            <w:r>
              <w:rPr>
                <w:rFonts w:ascii="Times New Roman" w:hAnsi="Times New Roman" w:cs="Times New Roman" w:eastAsia="Times New Roman"/>
                <w:b w:val="false"/>
                <w:sz w:val="26"/>
              </w:rPr>
              <w:t>Luật 68/2006/QH11 - Tiêu chuẩn và quy chuẩn kỹ thuật</w:t>
            </w:r>
          </w:p>
        </w:tc>
        <w:tc>
          <w:p/>
          <w:p>
            <w:pPr>
              <w:spacing w:after="0" w:before="0" w:lineRule="auto" w:line="276"/>
              <w:jc w:val="left"/>
            </w:pPr>
            <w:r>
              <w:rPr>
                <w:rFonts w:ascii="Times New Roman" w:hAnsi="Times New Roman" w:cs="Times New Roman" w:eastAsia="Times New Roman"/>
                <w:b w:val="false"/>
                <w:sz w:val="26"/>
              </w:rPr>
              <w:t>29-06-2006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05/2007/QH12</w:t>
            </w:r>
          </w:p>
        </w:tc>
        <w:tc>
          <w:p/>
          <w:p>
            <w:pPr>
              <w:spacing w:after="0" w:before="0" w:lineRule="auto" w:line="276"/>
              <w:jc w:val="left"/>
            </w:pPr>
            <w:r>
              <w:rPr>
                <w:rFonts w:ascii="Times New Roman" w:hAnsi="Times New Roman" w:cs="Times New Roman" w:eastAsia="Times New Roman"/>
                <w:b w:val="false"/>
                <w:sz w:val="26"/>
              </w:rPr>
              <w:t>Luật Chất lượng sản phẩm, hàng hoá</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107/2016/NĐ-CP</w:t>
            </w:r>
          </w:p>
        </w:tc>
        <w:tc>
          <w:p/>
          <w:p>
            <w:pPr>
              <w:spacing w:after="0" w:before="0" w:lineRule="auto" w:line="276"/>
              <w:jc w:val="left"/>
            </w:pPr>
            <w:r>
              <w:rPr>
                <w:rFonts w:ascii="Times New Roman" w:hAnsi="Times New Roman" w:cs="Times New Roman" w:eastAsia="Times New Roman"/>
                <w:b w:val="false"/>
                <w:sz w:val="26"/>
              </w:rPr>
              <w:t>Nghị định Quy định về điều kiện kinh doanh dịch vụ đánh giá sự phù hợp</w:t>
            </w:r>
          </w:p>
        </w:tc>
        <w:tc>
          <w:p/>
          <w:p>
            <w:pPr>
              <w:spacing w:after="0" w:before="0" w:lineRule="auto" w:line="276"/>
              <w:jc w:val="left"/>
            </w:pPr>
            <w:r>
              <w:rPr>
                <w:rFonts w:ascii="Times New Roman" w:hAnsi="Times New Roman" w:cs="Times New Roman" w:eastAsia="Times New Roman"/>
                <w:b w:val="false"/>
                <w:sz w:val="26"/>
              </w:rPr>
              <w:t>01-07-2016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đăng ký hoạt động thử nghiệm đã cấp còn hiệu lực;
Phải có ít nhất 02 thử nghiệm viên chính thức của tổ chức (viên chức hoặc lao động ký hợp đồng có thời hạn từ 12 tháng trở lên hoặc lao động ký hợp đồng không xác định thời hạn) tương ứng với lĩnh vực thử nghiệm đăng ký bổ sung, được đào tạo về tiêu chuẩn quốc gia TCVN ISO/IEC 17025:2007 hoặc tiêu chuẩn quốc tế ISO/IEC 17025:2005 hoặc tiêu chuẩn quốc gia, tiêu chuẩn quốc tế đối với thử nghiệm chuyên ngành.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2025-11-27T08:39:25Z</dcterms:created>
  <dc:creator>Apache POI</dc:creator>
</cp:coreProperties>
</file>