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2.000626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688A/QĐ-BCT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phép mua bán nguyên liệu thuốc lá</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Lưu thông hàng hóa trong nước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Doanh nghiệp đầu tư trồng cây thuốc lá, doanh nghiệp mua bán nguyên liệu thuốc lá nộp 01 bộ hồ sơ đề nghị cấp Giấy phép mua bán nguyên liệu thuốc lá cho Sở Công Thương;</w:t>
      </w:r>
    </w:p>
    <w:p>
      <w:pPr>
        <w:spacing w:after="0" w:before="0" w:lineRule="auto" w:line="276"/>
        <w:jc w:val="both"/>
      </w:pPr>
      <w:r>
        <w:rPr>
          <w:rFonts w:ascii="Times New Roman" w:hAnsi="Times New Roman" w:cs="Times New Roman" w:eastAsia="Times New Roman"/>
          <w:b w:val="false"/>
          <w:sz w:val="26"/>
        </w:rPr>
        <w:t>- Trong thời hạn 10 ngày làm việc kể từ ngày nhận đủ hồ sơ hợp lệ, Sở Công Thương xem xét và cấp Giấy phép mua bán nguyên liệu thuốc lá. Trường hợp doanh nghiệp không đáp ứng được điều kiện theo quy định, Sở Công Thương sẽ có văn bản trả lời từ chối cấp phép và nêu rõ lý do;</w:t>
      </w:r>
    </w:p>
    <w:p>
      <w:pPr>
        <w:spacing w:after="0" w:before="0" w:lineRule="auto" w:line="276"/>
        <w:jc w:val="both"/>
      </w:pPr>
      <w:r>
        <w:rPr>
          <w:rFonts w:ascii="Times New Roman" w:hAnsi="Times New Roman" w:cs="Times New Roman" w:eastAsia="Times New Roman"/>
          <w:b w:val="false"/>
          <w:sz w:val="26"/>
        </w:rPr>
        <w:t>- Trường hợp chưa đủ hồ sơ hợp lệ, trong vòng 05 ngày làm việc kể từ ngày tiếp nhận hồ sơ, Sở Công Thương có văn bản yêu cầu doanh nghiệp bổ sung.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t xml:space="preserve">Phí : Phí thẩm định (nếu có): Tại các huyện: 600.000 đồng/điểm kinh doanh/lần thẩm định. </w:t>
              <w:t xml:space="preserve"> (Thông tư số 168/2016/TT-BTC ngày 26 tháng 10 năm 2016 của Bộ trưởng Bộ Tài chính quy định mức thu, chế độ thu, nộp, quản lý và sử dụng phí thẩm định kinh doanh hàng hóa, dịch vụ hạn chế kinh doanh; hàng hóa, dịch vụ kinh doanh có điều kiện thuộc lĩnh vực thương mại và lệ phí cấp Giấy phép thành lập Sở Giao dịch hàng hóa.)</w:t>
            </w:r>
          </w:p>
          <w:p>
            <w:pPr>
              <w:spacing w:after="0" w:before="0" w:lineRule="auto" w:line="276"/>
              <w:jc w:val="left"/>
            </w:pPr>
            <w:r>
              <w:rPr>
                <w:rFonts w:ascii="Times New Roman" w:hAnsi="Times New Roman" w:cs="Times New Roman" w:eastAsia="Times New Roman"/>
                <w:b w:val="false"/>
                <w:sz w:val="26"/>
              </w:rPr>
              <w:t xml:space="preserve">Phí : Phí thẩm định (nếu có): Tại thành phố và các thị xã: 1.200.000 đồng/điểm kinh doanh/lần thẩm định. </w:t>
              <w:t xml:space="preserve"> (Thông tư số 168/2016/TT-BTC ngày 26 tháng 10 năm 2016 của Bộ trưởng Bộ Tài chính quy định mức thu, chế độ thu, nộp, quản lý và sử dụng phí thẩm định kinh doanh hàng hóa, dịch vụ hạn chế kinh doanh; hàng hóa, dịch vụ kinh doanh có điều kiện thuộc lĩnh vực thương mại và lệ phí cấp Giấy phép thành lập Sở Giao dịch hàng hóa.)</w:t>
            </w:r>
          </w:p>
        </w:tc>
        <w:tc>
          <w:p/>
          <w:p>
            <w:pPr>
              <w:spacing w:after="0" w:before="0" w:lineRule="auto" w:line="276"/>
              <w:jc w:val="left"/>
            </w:pPr>
            <w:r>
              <w:rPr>
                <w:rFonts w:ascii="Times New Roman" w:hAnsi="Times New Roman" w:cs="Times New Roman" w:eastAsia="Times New Roman"/>
                <w:b w:val="false"/>
                <w:sz w:val="26"/>
              </w:rPr>
              <w:t>- Nộp trực tiếp tại Bộ phận tiếp nhận và trả kết quả tại Trung tâm Phục vụ hành chính công tỉnh;
- 10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t xml:space="preserve">Phí : Phí thẩm định (nếu có): Tại các huyện: 600.000 đồng/điểm kinh doanh/lần thẩm định. </w:t>
              <w:t xml:space="preserve"> (Thông tư số 168/2016/TT-BTC ngày 26 tháng 10 năm 2016 của Bộ trưởng Bộ Tài chính quy định mức thu, chế độ thu, nộp, quản lý và sử dụng phí thẩm định kinh doanh hàng hóa, dịch vụ hạn chế kinh doanh; hàng hóa, dịch vụ kinh doanh có điều kiện thuộc lĩnh vực thương mại và lệ phí cấp Giấy phép thành lập Sở Giao dịch hàng hóa)</w:t>
            </w:r>
          </w:p>
          <w:p>
            <w:pPr>
              <w:spacing w:after="0" w:before="0" w:lineRule="auto" w:line="276"/>
              <w:jc w:val="left"/>
            </w:pPr>
            <w:r>
              <w:rPr>
                <w:rFonts w:ascii="Times New Roman" w:hAnsi="Times New Roman" w:cs="Times New Roman" w:eastAsia="Times New Roman"/>
                <w:b w:val="false"/>
                <w:sz w:val="26"/>
              </w:rPr>
              <w:t xml:space="preserve">Phí : Phí thẩm định (nếu có): Tại thành phố và các thị xã: 1.200.000 đồng/điểm kinh doanh/lần thẩm định </w:t>
              <w:t xml:space="preserve"> (Thông tư số 168/2016/TT-BTC ngày 26 tháng 10 năm 2016 của Bộ trưởng Bộ Tài chính quy định mức thu, chế độ thu, nộp, quản lý và sử dụng phí thẩm định kinh doanh hàng hóa, dịch vụ hạn chế kinh doanh; hàng hóa, dịch vụ kinh doanh có điều kiện thuộc lĩnh vực thương mại và lệ phí cấp Giấy phép thành lập Sở Giao dịch hàng hóa.)</w:t>
            </w:r>
          </w:p>
        </w:tc>
        <w:tc>
          <w:p/>
          <w:p>
            <w:pPr>
              <w:spacing w:after="0" w:before="0" w:lineRule="auto" w:line="276"/>
              <w:jc w:val="left"/>
            </w:pPr>
            <w:r>
              <w:rPr>
                <w:rFonts w:ascii="Times New Roman" w:hAnsi="Times New Roman" w:cs="Times New Roman" w:eastAsia="Times New Roman"/>
                <w:b w:val="false"/>
                <w:sz w:val="26"/>
              </w:rPr>
              <w:t>- Trực tuyến qua Cổng dịch vụ công tỉnh;
- 10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t xml:space="preserve">Phí : Phí thẩm định (nếu có): Tại các huyện: 600.000 đồng/điểm kinh doanh/lần thẩm định. </w:t>
              <w:t xml:space="preserve"> (Thông tư số 168/2016/TT-BTC ngày 26 tháng 10 năm 2016 của Bộ trưởng Bộ Tài chính quy định mức thu, chế độ thu, nộp, quản lý và sử dụng phí thẩm định kinh doanh hàng hóa, dịch vụ hạn chế kinh doanh; hàng hóa, dịch vụ kinh doanh có điều kiện thuộc lĩnh vực thương mại và lệ phí cấp Giấy phép thành lập Sở Giao dịch hàng hóa.)</w:t>
            </w:r>
          </w:p>
          <w:p>
            <w:pPr>
              <w:spacing w:after="0" w:before="0" w:lineRule="auto" w:line="276"/>
              <w:jc w:val="left"/>
            </w:pPr>
            <w:r>
              <w:rPr>
                <w:rFonts w:ascii="Times New Roman" w:hAnsi="Times New Roman" w:cs="Times New Roman" w:eastAsia="Times New Roman"/>
                <w:b w:val="false"/>
                <w:sz w:val="26"/>
              </w:rPr>
              <w:t>Phí : Phí thẩm định (nếu có): Tại thành phố và các thị xã: 1.200.000 đồng/điểm kinh doanh/lần thẩm định. Đồng</w:t>
              <w:t xml:space="preserve"> (Thông tư số 168/2016/TT-BTC ngày 26 tháng 10 năm 2016 của Bộ trưởng Bộ Tài chính quy định mức thu, chế độ thu, nộp, quản lý và sử dụng phí thẩm định kinh doanh hàng hóa, dịch vụ hạn chế kinh doanh; hàng hóa, dịch vụ kinh doanh có điều kiện thuộc lĩnh vực thương mại và lệ phí cấp Giấy phép thành lập Sở Giao dịch hàng hóa.)</w:t>
            </w:r>
          </w:p>
        </w:tc>
        <w:tc>
          <w:p/>
          <w:p>
            <w:pPr>
              <w:spacing w:after="0" w:before="0" w:lineRule="auto" w:line="276"/>
              <w:jc w:val="left"/>
            </w:pPr>
            <w:r>
              <w:rPr>
                <w:rFonts w:ascii="Times New Roman" w:hAnsi="Times New Roman" w:cs="Times New Roman" w:eastAsia="Times New Roman"/>
                <w:b w:val="false"/>
                <w:sz w:val="26"/>
              </w:rPr>
              <w:t>Nộp qua bưu điện;
10 ngày làm việc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cấp Giấy phép mua bán nguyên liệu thuốc lá (Bản chính - theo mẫu Phụ lục 8 Thông tư số 57/2018/TT-BCT);</w:t>
            </w:r>
          </w:p>
        </w:tc>
        <w:tc>
          <w:p/>
          <w:p>
            <w:pPr>
              <w:spacing w:after="0" w:before="0" w:lineRule="auto" w:line="276"/>
              <w:jc w:val="left"/>
            </w:pPr>
            <w:r>
              <w:rPr>
                <w:rFonts w:ascii="Times New Roman" w:hAnsi="Times New Roman" w:cs="Times New Roman" w:eastAsia="Times New Roman"/>
                <w:b w:val="false"/>
                <w:sz w:val="26"/>
              </w:rPr>
              <w:t>Phụ lục 8.docx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Giấy chứng nhận đăng ký kinh doanh;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sao hợp đồng nguyên tắc hoặc thỏa thuận nhập khẩu ủy thác nguyên liệu thuốc lá với doanh nghiệp sản xuất sản phẩm thuốc lá, doanh nghiệp chế biến nguyên liệu thuốc lá hoặc hợp đồng nguyên tắc hoặc thỏa thuận xuất khẩu ủy thác nguyên liệu thuốc lá với doanh nghiệp đủ điều kiện đầu tư trồng cây thuốc lá, doanh nghiệp chế biến nguyên liệu thuốc lá.</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mua bán nguyên liệu thuốc lá</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08/2018/NĐ-CP</w:t>
            </w:r>
          </w:p>
        </w:tc>
        <w:tc>
          <w:p/>
          <w:p>
            <w:pPr>
              <w:spacing w:after="0" w:before="0" w:lineRule="auto" w:line="276"/>
              <w:jc w:val="left"/>
            </w:pPr>
            <w:r>
              <w:rPr>
                <w:rFonts w:ascii="Times New Roman" w:hAnsi="Times New Roman" w:cs="Times New Roman" w:eastAsia="Times New Roman"/>
                <w:b w:val="false"/>
                <w:sz w:val="26"/>
              </w:rPr>
              <w:t>Nghị định 08/2018/NĐ-CP</w:t>
            </w:r>
          </w:p>
        </w:tc>
        <w:tc>
          <w:p/>
          <w:p>
            <w:pPr>
              <w:spacing w:after="0" w:before="0" w:lineRule="auto" w:line="276"/>
              <w:jc w:val="left"/>
            </w:pPr>
            <w:r>
              <w:rPr>
                <w:rFonts w:ascii="Times New Roman" w:hAnsi="Times New Roman" w:cs="Times New Roman" w:eastAsia="Times New Roman"/>
                <w:b w:val="false"/>
                <w:sz w:val="26"/>
              </w:rPr>
              <w:t>15-01-2018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67/2013/NĐ-CP</w:t>
            </w:r>
          </w:p>
        </w:tc>
        <w:tc>
          <w:p/>
          <w:p>
            <w:pPr>
              <w:spacing w:after="0" w:before="0" w:lineRule="auto" w:line="276"/>
              <w:jc w:val="left"/>
            </w:pPr>
            <w:r>
              <w:rPr>
                <w:rFonts w:ascii="Times New Roman" w:hAnsi="Times New Roman" w:cs="Times New Roman" w:eastAsia="Times New Roman"/>
                <w:b w:val="false"/>
                <w:sz w:val="26"/>
              </w:rPr>
              <w:t>Nghị định 67/2013/NĐ-CP</w:t>
            </w:r>
          </w:p>
        </w:tc>
        <w:tc>
          <w:p/>
          <w:p>
            <w:pPr>
              <w:spacing w:after="0" w:before="0" w:lineRule="auto" w:line="276"/>
              <w:jc w:val="left"/>
            </w:pPr>
            <w:r>
              <w:rPr>
                <w:rFonts w:ascii="Times New Roman" w:hAnsi="Times New Roman" w:cs="Times New Roman" w:eastAsia="Times New Roman"/>
                <w:b w:val="false"/>
                <w:sz w:val="26"/>
              </w:rPr>
              <w:t>27-06-2013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106/2017/NĐ-CP</w:t>
            </w:r>
          </w:p>
        </w:tc>
        <w:tc>
          <w:p/>
          <w:p>
            <w:pPr>
              <w:spacing w:after="0" w:before="0" w:lineRule="auto" w:line="276"/>
              <w:jc w:val="left"/>
            </w:pPr>
            <w:r>
              <w:rPr>
                <w:rFonts w:ascii="Times New Roman" w:hAnsi="Times New Roman" w:cs="Times New Roman" w:eastAsia="Times New Roman"/>
                <w:b w:val="false"/>
                <w:sz w:val="26"/>
              </w:rPr>
              <w:t>Nghị định 106/2017/NĐ-CP</w:t>
            </w:r>
          </w:p>
        </w:tc>
        <w:tc>
          <w:p/>
          <w:p>
            <w:pPr>
              <w:spacing w:after="0" w:before="0" w:lineRule="auto" w:line="276"/>
              <w:jc w:val="left"/>
            </w:pPr>
            <w:r>
              <w:rPr>
                <w:rFonts w:ascii="Times New Roman" w:hAnsi="Times New Roman" w:cs="Times New Roman" w:eastAsia="Times New Roman"/>
                <w:b w:val="false"/>
                <w:sz w:val="26"/>
              </w:rPr>
              <w:t>14-09-2017</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168/2016/TT-BTC</w:t>
            </w:r>
          </w:p>
        </w:tc>
        <w:tc>
          <w:p/>
          <w:p>
            <w:pPr>
              <w:spacing w:after="0" w:before="0" w:lineRule="auto" w:line="276"/>
              <w:jc w:val="left"/>
            </w:pPr>
            <w:r>
              <w:rPr>
                <w:rFonts w:ascii="Times New Roman" w:hAnsi="Times New Roman" w:cs="Times New Roman" w:eastAsia="Times New Roman"/>
                <w:b w:val="false"/>
                <w:sz w:val="26"/>
              </w:rPr>
              <w:t>168/2016/TT-BTC</w:t>
            </w:r>
          </w:p>
        </w:tc>
        <w:tc>
          <w:p/>
          <w:p>
            <w:pPr>
              <w:spacing w:after="0" w:before="0" w:lineRule="auto" w:line="276"/>
              <w:jc w:val="left"/>
            </w:pPr>
            <w:r>
              <w:rPr>
                <w:rFonts w:ascii="Times New Roman" w:hAnsi="Times New Roman" w:cs="Times New Roman" w:eastAsia="Times New Roman"/>
                <w:b w:val="false"/>
                <w:sz w:val="26"/>
              </w:rPr>
              <w:t>26-10-2016</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17/2020/NĐ-CP</w:t>
            </w:r>
          </w:p>
        </w:tc>
        <w:tc>
          <w:p/>
          <w:p>
            <w:pPr>
              <w:spacing w:after="0" w:before="0" w:lineRule="auto" w:line="276"/>
              <w:jc w:val="left"/>
            </w:pPr>
            <w:r>
              <w:rPr>
                <w:rFonts w:ascii="Times New Roman" w:hAnsi="Times New Roman" w:cs="Times New Roman" w:eastAsia="Times New Roman"/>
                <w:b w:val="false"/>
                <w:sz w:val="26"/>
              </w:rPr>
              <w:t>Nghị định 17/2020/NĐ-CP</w:t>
            </w:r>
          </w:p>
        </w:tc>
        <w:tc>
          <w:p/>
          <w:p>
            <w:pPr>
              <w:spacing w:after="0" w:before="0" w:lineRule="auto" w:line="276"/>
              <w:jc w:val="left"/>
            </w:pPr>
            <w:r>
              <w:rPr>
                <w:rFonts w:ascii="Times New Roman" w:hAnsi="Times New Roman" w:cs="Times New Roman" w:eastAsia="Times New Roman"/>
                <w:b w:val="false"/>
                <w:sz w:val="26"/>
              </w:rPr>
              <w:t>05-02-2020</w:t>
            </w:r>
          </w:p>
        </w:tc>
        <w:tc>
          <w:p/>
        </w:tc>
      </w:tr>
      <w:tr>
        <w:tc>
          <w:p/>
          <w:p>
            <w:pPr>
              <w:spacing w:after="0" w:before="0" w:lineRule="auto" w:line="276"/>
              <w:jc w:val="left"/>
            </w:pPr>
            <w:r>
              <w:rPr>
                <w:rFonts w:ascii="Times New Roman" w:hAnsi="Times New Roman" w:cs="Times New Roman" w:eastAsia="Times New Roman"/>
                <w:b w:val="false"/>
                <w:sz w:val="26"/>
              </w:rPr>
              <w:t>28/2019/TT-BCT</w:t>
            </w:r>
          </w:p>
        </w:tc>
        <w:tc>
          <w:p/>
          <w:p>
            <w:pPr>
              <w:spacing w:after="0" w:before="0" w:lineRule="auto" w:line="276"/>
              <w:jc w:val="left"/>
            </w:pPr>
            <w:r>
              <w:rPr>
                <w:rFonts w:ascii="Times New Roman" w:hAnsi="Times New Roman" w:cs="Times New Roman" w:eastAsia="Times New Roman"/>
                <w:b w:val="false"/>
                <w:sz w:val="26"/>
              </w:rPr>
              <w:t>Thông tư 28/2019/TT-BCT</w:t>
            </w:r>
          </w:p>
        </w:tc>
        <w:tc>
          <w:p/>
          <w:p>
            <w:pPr>
              <w:spacing w:after="0" w:before="0" w:lineRule="auto" w:line="276"/>
              <w:jc w:val="left"/>
            </w:pPr>
            <w:r>
              <w:rPr>
                <w:rFonts w:ascii="Times New Roman" w:hAnsi="Times New Roman" w:cs="Times New Roman" w:eastAsia="Times New Roman"/>
                <w:b w:val="false"/>
                <w:sz w:val="26"/>
              </w:rPr>
              <w:t>15-11-2019</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Doanh nghiệp được thành lập theo quy định của pháp luật;
- Có hợp đồng nguyên tắc hoặc thỏa thuận nhập khẩu ủy thác nguyên liệu thuốc lá với doanh nghiệp sản xuất sản phẩm thuốc lá, doanh nghiệp chế biến nguyên liệu thuốc lá hoặc hợp đồng nguyên tắc hoặc thỏa thuận xuất khẩu ủy thác nguyên liệu thuốc lá với doanh nghiệp đủ Điều kiện đầu tư trồng cây thuốc lá, doanh nghiệp chế biến nguyên liệu thuốc lá. Doanh nghiệp có Giấy phép mua bán nguyên liệu thuốc lá chỉ được nhập khẩu ủy thác nguyên liệu thuốc lá cho các doanh nghiệp có Giấy chứng nhận đủ Điều kiện đầu tư trồng cây thuốc lá, Giấy phép chế biến nguyên liệu thuốc lá.</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Lưu thông hàng hóa trong nước</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https://thutuc.dichvucong.gov.vn/p/home/dvc-tthc-thu-tuc-hanh-chinh-chi-tiet.html?ma_thu_tuc=1911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2025-11-27T08:39:35Z</dcterms:created>
  <dc:creator>Apache POI</dc:creator>
</cp:coreProperties>
</file>