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có thay đổi các nội dung của giấy phép, thương nhân phải nộp 01 bộ hồ sơ trực tiếp hoặc qua đường bưu điện hoặc trực tuyến (nếu đủ điều kiện áp dụng) đến Ủy ban nhân dân cấp xã nơi thương nhân đặt cơ sở sản xuất.
- Trong thời hạn 07 ngày làm việc kể từ ngày nhận đủ hồ sơ hợp lệ, Ủy ban nhân dân cấp xã xem xét và cấp sửa đổi, bổ sung giấy phép theo Mẫu số 06 ban hành kèm theo Nghị định số 105/2017/NĐ-CP. Trường hợp từ chối cấp sửa đổi, bổ sung phải trả lời bằng văn bản và nêu rõ lý do.
- Trường hợp chưa đủ hồ sơ hợp lệ, trong vòng 03 ngày làm việc kể từ ngày tiếp nhận hồ sơ, Ủy ban nhân dân cấp xã sửa đổi, bổ sung giấy phép phải có văn bản yêu cầu bổ sung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sửa đổi, bổ sung theo Mẫu số 02 ban hành kèm theo Nghị định số 17/2020/NĐ-CP;</w:t>
            </w:r>
          </w:p>
        </w:tc>
        <w:tc>
          <w:p/>
          <w:p>
            <w:pPr>
              <w:spacing w:after="0" w:before="0" w:lineRule="auto" w:line="276"/>
              <w:jc w:val="left"/>
            </w:pPr>
            <w:r>
              <w:rPr>
                <w:rFonts w:ascii="Times New Roman" w:hAnsi="Times New Roman" w:cs="Times New Roman" w:eastAsia="Times New Roman"/>
                <w:b w:val="false"/>
                <w:sz w:val="26"/>
              </w:rPr>
              <w:t>MẪU SỐ 02 RƯỢU.docx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tài liệu chứng minh nhu cầu sửa đổi,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rượu thủ công nhằm mục đích kinh doanh (sửa đổi, bổ sung)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có Giấy phép sản xuất rượu thủ công nhằm mục đích kinh doanh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https://thutuc.dichvucong.gov.vn/p/home/dvc-tthc-thu-tuc-hanh-chinh-chi-tiet.html?ma_thu_tuc=1920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2025-11-27T08:39:40Z</dcterms:created>
  <dc:creator>Apache POI</dc:creator>
</cp:coreProperties>
</file>