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buôn rượu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Trình tự thực hiện, cách thức thực hiện, thành phần, số lượng hồ sơ, thời hạn giải quyết, đối tượng thực hiện thủ tục hành chính cấp lại đối với quy định tại trường hợp này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bị mất hoặc bị hỏng giấy phép</w:t>
      </w:r>
    </w:p>
    <w:p>
      <w:pPr>
        <w:spacing w:after="0" w:before="0" w:lineRule="auto" w:line="276"/>
        <w:jc w:val="both"/>
      </w:pPr>
      <w:r>
        <w:rPr>
          <w:rFonts w:ascii="Times New Roman" w:hAnsi="Times New Roman" w:cs="Times New Roman" w:eastAsia="Times New Roman"/>
          <w:b w:val="false"/>
          <w:sz w:val="26"/>
        </w:rPr>
        <w:t>+ Thương nhân bán buôn rượu gửi một (01) bộ hồ sơ về Sở Công Thương. 
	+ Trong thời hạn 07 ngày làm việc kể từ ngày nhận đủ hồ sơ hợp lệ, Sở Công Thương xem xét, thẩm định và cấp giấy phép bán buôn rượu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bị mất,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sửa đổi Giấy phép bán buôn rượu theo Mẫu số 03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gốc hoặc bản sao Giấy phép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rượu (cấp lại do mất, hỏng)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b) Có hệ thống bán buôn rượu trên địa bàn tỉnh, thành phố trực thuộc trung ương, nơi doanh nghiệp đặt trụ sở chính với ít nhất 01 thương nhân bán lẻ rượu. Trường hợp doanh nghiệp có thành lập chi nhánh hoặc địa điểm kinh doanh ngoài trụ sở chính để kinh doanh rượu thì không cần có xác nhận của thương nhân bán lẻ rượu.
c) Có văn bản giới thiệu hoặc hợp đồng nguyên tắc của thương nhân sản xuất rượu, thương nhân phân phối rượu hoặc thương nhân bán buôn rượu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2025-11-27T08:39:51Z</dcterms:created>
  <dc:creator>Apache POI</dc:creator>
</cp:coreProperties>
</file>