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2.000640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688A/QĐ-BCT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chứng nhận đủ điều kiện đầu tư trồng cây thuốc lá</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Trường hợp Giấy chứng nhận đủ điều kiện đầu tư trồng cây thuốc lá đã được cấp hết thời hạn hiệu lực. Trước thời hạn hết hiệu lực của giấy phép 30 ngày, tổ chức, cá nhân phải nộp hồ sơ đề nghị cấp lại giấy phép trong trường hợp tiếp tục kinh doanh. Hồ sơ, thẩm quyền, trình tự, thủ tục cấp lại như đối với trường hợp cấp mới.</w:t>
      </w:r>
    </w:p>
    <w:p>
      <w:pPr>
        <w:spacing w:after="0" w:before="0" w:lineRule="auto" w:line="276"/>
        <w:jc w:val="both"/>
      </w:pPr>
      <w:r>
        <w:rPr>
          <w:rFonts w:ascii="Times New Roman" w:hAnsi="Times New Roman" w:cs="Times New Roman" w:eastAsia="Times New Roman"/>
          <w:b w:val="false"/>
          <w:sz w:val="26"/>
        </w:rPr>
        <w:t>- Trường hợp Giấy chứng nhận đủ điều kiện đầu tư trồng cây thuốc lá bị mất, bị tiêu hủy toàn bộ hoặc một phần, bị rách, nát hoặc bị cháy, tổ chức, cá nhân được cấp phép phải lập, nộp 01 bộ hồ sơ đề nghị cấp lại đến Sở Công Thương. Trong thời hạn 15 ngày làm việc kể từ ngày nhận đủ hồ sơ hợp lệ, Sở Công Thương xem xét và cấp lại Giấy phép, nếu cá nhân, tổ chức không đáp ứng được điều kiện theo quy định, Sở Công Thương có văn bản trả lời từ chối cấp phép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Phí thẩm định: 2.200.000 đồng/lần thẩm định/hồ sơ </w:t>
              <w:t xml:space="preserve"> (Thông tư số 299/2016/TT-BTC ngày 15/11/2016 của Bộ Tài chính quy định mức thu, chế độ thu, nộp, quản lý và sử dụng phí thẩm định điều kiện kinh doanh để cấp Giấy phép sản xuất rượu, Giấy phép sản xuất thuốc lá.)</w:t>
            </w:r>
          </w:p>
        </w:tc>
        <w:tc>
          <w:p/>
          <w:p>
            <w:pPr>
              <w:spacing w:after="0" w:before="0" w:lineRule="auto" w:line="276"/>
              <w:jc w:val="left"/>
            </w:pPr>
            <w:r>
              <w:rPr>
                <w:rFonts w:ascii="Times New Roman" w:hAnsi="Times New Roman" w:cs="Times New Roman" w:eastAsia="Times New Roman"/>
                <w:b w:val="false"/>
                <w:sz w:val="26"/>
              </w:rPr>
              <w:t>- Nộp trực tiếp tại Sở Công Thương;
- 15 ngày làm việc kể từ khi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Phí thẩm định: 2.200.000 đồng/lần thẩm định/hồ sơ </w:t>
              <w:t xml:space="preserve"> (Thông tư số 299/2016/TT-BTC ngày 15/11/2016 của Bộ Tài chính quy định mức thu, chế độ thu, nộp, quản lý và sử dụng phí thẩm định điều kiện kinh doanh để cấp Giấy phép sản xuất rượu, Giấy phép sản xuất thuốc lá.)</w:t>
            </w:r>
          </w:p>
        </w:tc>
        <w:tc>
          <w:p/>
          <w:p>
            <w:pPr>
              <w:spacing w:after="0" w:before="0" w:lineRule="auto" w:line="276"/>
              <w:jc w:val="left"/>
            </w:pPr>
            <w:r>
              <w:rPr>
                <w:rFonts w:ascii="Times New Roman" w:hAnsi="Times New Roman" w:cs="Times New Roman" w:eastAsia="Times New Roman"/>
                <w:b w:val="false"/>
                <w:sz w:val="26"/>
              </w:rPr>
              <w:t>15 ngày làm việc kể từ khi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Phí thẩm định: 2.200.000 đồng/lần thẩm định/hồ sơ </w:t>
              <w:t xml:space="preserve"> (Thông tư số 299/2016/TT-BTC ngày 15/11/2016 của Bộ Tài chính quy định mức thu, chế độ thu, nộp, quản lý và sử dụng phí thẩm định điều kiện kinh doanh để cấp Giấy phép sản xuất rượu, Giấy phép sản xuất thuốc lá.)</w:t>
            </w:r>
          </w:p>
        </w:tc>
        <w:tc>
          <w:p/>
          <w:p>
            <w:pPr>
              <w:spacing w:after="0" w:before="0" w:lineRule="auto" w:line="276"/>
              <w:jc w:val="left"/>
            </w:pPr>
            <w:r>
              <w:rPr>
                <w:rFonts w:ascii="Times New Roman" w:hAnsi="Times New Roman" w:cs="Times New Roman" w:eastAsia="Times New Roman"/>
                <w:b w:val="false"/>
                <w:sz w:val="26"/>
              </w:rPr>
              <w:t>Nộp tại bưu điện;
15 ngày làm việc kể từ khi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Trường hợp Giấy chứng nhận đủ điều kiện đầu tư trồng cây thuốc lá bị mất, bị tiêu hủy toàn bộ hoặc một phần, bị rách, nát hoặc bị cháy: - Thành phần hồ sơ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cấp lại Giấy chứng nhận đủ điều kiện đầu tư trồng cây thuốc lá (Bản chính - theo mẫu phụ lục 34 Thông tư số 57/2018/TT-BCT)</w:t>
            </w:r>
          </w:p>
        </w:tc>
        <w:tc>
          <w:p/>
          <w:p>
            <w:pPr>
              <w:spacing w:after="0" w:before="0" w:lineRule="auto" w:line="276"/>
              <w:jc w:val="left"/>
            </w:pPr>
            <w:r>
              <w:rPr>
                <w:rFonts w:ascii="Times New Roman" w:hAnsi="Times New Roman" w:cs="Times New Roman" w:eastAsia="Times New Roman"/>
                <w:b w:val="false"/>
                <w:sz w:val="26"/>
              </w:rPr>
              <w:t>Phụ lục 34.docx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chứng nhận đủ điều kiện đầu tư trồng cây thuốc lá đã được cấp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 Trường hợp Giấy chứng nhận đủ điều kiện đầu tư trồng cây thuốc lá đã được cấp hết thời hạn hiệu lực</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Hồ sơ, thẩm quyền, trình tự, thủ tục cấp lại như đối với trường hợp cấp mới.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đầu tư trồng cây thuốc lá (cấp lại)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08/2018/NĐ-CP</w:t>
            </w:r>
          </w:p>
        </w:tc>
        <w:tc>
          <w:p/>
          <w:p>
            <w:pPr>
              <w:spacing w:after="0" w:before="0" w:lineRule="auto" w:line="276"/>
              <w:jc w:val="left"/>
            </w:pPr>
            <w:r>
              <w:rPr>
                <w:rFonts w:ascii="Times New Roman" w:hAnsi="Times New Roman" w:cs="Times New Roman" w:eastAsia="Times New Roman"/>
                <w:b w:val="false"/>
                <w:sz w:val="26"/>
              </w:rPr>
              <w:t>Nghị định 08/2018/NĐ-CP</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67/2013/NĐ-CP</w:t>
            </w:r>
          </w:p>
        </w:tc>
        <w:tc>
          <w:p/>
          <w:p>
            <w:pPr>
              <w:spacing w:after="0" w:before="0" w:lineRule="auto" w:line="276"/>
              <w:jc w:val="left"/>
            </w:pPr>
            <w:r>
              <w:rPr>
                <w:rFonts w:ascii="Times New Roman" w:hAnsi="Times New Roman" w:cs="Times New Roman" w:eastAsia="Times New Roman"/>
                <w:b w:val="false"/>
                <w:sz w:val="26"/>
              </w:rPr>
              <w:t>Nghị định 67/2013/NĐ-CP</w:t>
            </w:r>
          </w:p>
        </w:tc>
        <w:tc>
          <w:p/>
          <w:p>
            <w:pPr>
              <w:spacing w:after="0" w:before="0" w:lineRule="auto" w:line="276"/>
              <w:jc w:val="left"/>
            </w:pPr>
            <w:r>
              <w:rPr>
                <w:rFonts w:ascii="Times New Roman" w:hAnsi="Times New Roman" w:cs="Times New Roman" w:eastAsia="Times New Roman"/>
                <w:b w:val="false"/>
                <w:sz w:val="26"/>
              </w:rPr>
              <w:t>27-06-2013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106/2017/NĐ-CP</w:t>
            </w:r>
          </w:p>
        </w:tc>
        <w:tc>
          <w:p/>
          <w:p>
            <w:pPr>
              <w:spacing w:after="0" w:before="0" w:lineRule="auto" w:line="276"/>
              <w:jc w:val="left"/>
            </w:pPr>
            <w:r>
              <w:rPr>
                <w:rFonts w:ascii="Times New Roman" w:hAnsi="Times New Roman" w:cs="Times New Roman" w:eastAsia="Times New Roman"/>
                <w:b w:val="false"/>
                <w:sz w:val="26"/>
              </w:rPr>
              <w:t>Nghị định 106/2017/NĐ-CP</w:t>
            </w:r>
          </w:p>
        </w:tc>
        <w:tc>
          <w:p/>
          <w:p>
            <w:pPr>
              <w:spacing w:after="0" w:before="0" w:lineRule="auto" w:line="276"/>
              <w:jc w:val="left"/>
            </w:pPr>
            <w:r>
              <w:rPr>
                <w:rFonts w:ascii="Times New Roman" w:hAnsi="Times New Roman" w:cs="Times New Roman" w:eastAsia="Times New Roman"/>
                <w:b w:val="false"/>
                <w:sz w:val="26"/>
              </w:rPr>
              <w:t>14-09-2017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57/2018/TT-BCT</w:t>
            </w:r>
          </w:p>
        </w:tc>
        <w:tc>
          <w:p/>
          <w:p>
            <w:pPr>
              <w:spacing w:after="0" w:before="0" w:lineRule="auto" w:line="276"/>
              <w:jc w:val="left"/>
            </w:pPr>
            <w:r>
              <w:rPr>
                <w:rFonts w:ascii="Times New Roman" w:hAnsi="Times New Roman" w:cs="Times New Roman" w:eastAsia="Times New Roman"/>
                <w:b w:val="false"/>
                <w:sz w:val="26"/>
              </w:rPr>
              <w:t>Thông tư 57/2018/TT-BCT</w:t>
            </w:r>
          </w:p>
        </w:tc>
        <w:tc>
          <w:p/>
          <w:p>
            <w:pPr>
              <w:spacing w:after="0" w:before="0" w:lineRule="auto" w:line="276"/>
              <w:jc w:val="left"/>
            </w:pPr>
            <w:r>
              <w:rPr>
                <w:rFonts w:ascii="Times New Roman" w:hAnsi="Times New Roman" w:cs="Times New Roman" w:eastAsia="Times New Roman"/>
                <w:b w:val="false"/>
                <w:sz w:val="26"/>
              </w:rPr>
              <w:t>28-12-2018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Có đăng ký kinh doanh mặt hàng nguyên liệu thuốc lá;
- Có quy mô đầu tư trồng cây thuốc lá tại địa phương ít nhất 100 ha mỗi năm;
- Phải có hợp đồng đầu tư trồng cây thuốc lá với người trồng cây thuốc lá phù hợp với quy mô kinh doanh;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https://thutuc.dichvucong.gov.vn/p/home/dvc-tthc-thu-tuc-hanh-chinh-chi-tiet.html?ma_thu_tuc=1960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2025-11-27T08:39:50Z</dcterms:created>
  <dc:creator>Apache POI</dc:creator>
</cp:coreProperties>
</file>