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quá cảnh là vật liệu nổ công nghiệp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cấp giấy phép quá cảnh hàng hóa đến Cục Xuất nhập khẩu - Bộ Công Thương
Trường hợp hồ sơ chưa đầy đủ, đúng quy định, trong thời hạn 03 ngày làm việc, kể từ ngày tiếp nhận hồ sơ, Bộ Công Thương có văn bản yêu cầu chủ hàng hoàn thiện hồ sơ. 
Trong thời hạn 05 ngày làm việc, kể từ ngày nhận được hồ sơ đầy đủ, đúng quy định của chủ hàng, Cục Xuất nhập khẩu, Bộ Công Thương có văn bản lấy ý kiến Bộ Quốc phòng, Bộ Công an. Trong thời hạn 05 ngày làm việc, kể từ ngày nhận được văn bản lấy ý kiến của Cục Xuất nhập khẩu, Bộ Quốc phòng và Bộ Công an có văn bản trả lời.
 Trong thời hạn 05 ngày làm việc, kể từ ngày nhận được ý kiến của Bộ Quốc phòng và Bộ Công an, Cục Xuất nhập khẩu, Bộ Công Thương có văn bản trả lời chủ hàng, trường hợp không chấp thuận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hàng hóa: 01 bản chính (theo mẫu quy định tại Phụ lục I ban hành kèm theo Thông tư số 11/2015/TT-BCT).</w:t>
            </w:r>
          </w:p>
        </w:tc>
        <w:tc>
          <w:p/>
          <w:p>
            <w:pPr>
              <w:spacing w:after="0" w:before="0" w:lineRule="auto" w:line="276"/>
              <w:jc w:val="left"/>
            </w:pPr>
            <w:r>
              <w:rPr>
                <w:rFonts w:ascii="Times New Roman" w:hAnsi="Times New Roman" w:cs="Times New Roman" w:eastAsia="Times New Roman"/>
                <w:b w:val="false"/>
                <w:sz w:val="26"/>
              </w:rPr>
              <w:t>Mau so 2, TT 11-2015.docx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vận chuyển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quá cảnh là Vật liệu nổ công nghiệp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Quy định chi tiết thi hành Luật Thương mại về hoạt động mua bán hàng hóa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2025-11-27T08:40:16Z</dcterms:created>
  <dc:creator>Apache POI</dc:creator>
</cp:coreProperties>
</file>