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4AA0" w:rsidRDefault="00D431DA">
      <w:pPr>
        <w:spacing w:after="300" w:line="276" w:lineRule="auto"/>
        <w:jc w:val="center"/>
      </w:pPr>
      <w:r>
        <w:rPr>
          <w:rFonts w:ascii="Times New Roman" w:eastAsia="Times New Roman" w:hAnsi="Times New Roman" w:cs="Times New Roman"/>
          <w:b/>
          <w:sz w:val="26"/>
        </w:rPr>
        <w:t>Chi tiết thủ tục hành chính</w:t>
      </w:r>
    </w:p>
    <w:p w:rsidR="00324AA0" w:rsidRDefault="00D431D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2.000673</w:t>
      </w:r>
    </w:p>
    <w:p w:rsidR="00324AA0" w:rsidRDefault="00D431D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985/QĐ-BCT</w:t>
      </w:r>
    </w:p>
    <w:p w:rsidR="00324AA0" w:rsidRDefault="00D431D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xác nhận đủ điều kiện làm đại lý bán lẻ xăng dầu</w:t>
      </w:r>
    </w:p>
    <w:p w:rsidR="00324AA0" w:rsidRDefault="00D431D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324AA0" w:rsidRDefault="00D431D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324AA0" w:rsidRDefault="00D431D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Lưu thông hàng hóa trong nước</w:t>
      </w:r>
    </w:p>
    <w:p w:rsidR="00324AA0" w:rsidRDefault="00D431DA">
      <w:pPr>
        <w:spacing w:after="0" w:line="276" w:lineRule="auto"/>
        <w:jc w:val="both"/>
      </w:pPr>
      <w:r>
        <w:rPr>
          <w:rFonts w:ascii="Times New Roman" w:eastAsia="Times New Roman" w:hAnsi="Times New Roman" w:cs="Times New Roman"/>
          <w:b/>
          <w:sz w:val="26"/>
        </w:rPr>
        <w:t xml:space="preserve">Trình tự thực hiện: </w:t>
      </w:r>
    </w:p>
    <w:p w:rsidR="00324AA0" w:rsidRDefault="00324AA0">
      <w:pPr>
        <w:shd w:val="clear" w:color="auto" w:fill="F2F6F9"/>
        <w:spacing w:before="120" w:after="0" w:line="276" w:lineRule="auto"/>
        <w:jc w:val="both"/>
      </w:pPr>
    </w:p>
    <w:p w:rsidR="00324AA0" w:rsidRDefault="00D431DA">
      <w:pPr>
        <w:spacing w:after="0" w:line="276" w:lineRule="auto"/>
        <w:jc w:val="both"/>
      </w:pPr>
      <w:r>
        <w:rPr>
          <w:rFonts w:ascii="Times New Roman" w:eastAsia="Times New Roman" w:hAnsi="Times New Roman" w:cs="Times New Roman"/>
          <w:sz w:val="26"/>
        </w:rPr>
        <w:t xml:space="preserve">- Thương nhân gửi một (01) bộ hồ sơ về cơ quan có thẩm quyền. - Trường hợp chưa đủ hồ sơ hợp lệ, trong vòng bảy (07) ngày làm việc kể từ ngày tiếp nhận hồ sơ của thương nhân, cơ quan có thẩm quyền có văn bản yêu cầu thương nhân bổ sung. - Trong thời hạn ba mươi (30) ngày làm việc kể từ khi nhận được hồ sơ hợp lệ, cơ quan có thẩm quyền có trách nhiệm xem xét, thẩm định và cấp Giấy xác nhận đủ điều kiện làm đại lý bán lẻ xăng dầu theo Mẫu số 10 tại Phụ lục kèm theo Nghị định số 83/2014/NĐ-CP cho thương nhân. </w:t>
      </w:r>
      <w:r>
        <w:rPr>
          <w:rFonts w:ascii="Times New Roman" w:eastAsia="Times New Roman" w:hAnsi="Times New Roman" w:cs="Times New Roman"/>
          <w:sz w:val="26"/>
        </w:rPr>
        <w:t>Trường hợp từ chối cấp Giấy xác nhận do không đủ điều kiện, cơ quan có thẩm quyền phải trả lời bằng văn bản và nêu rõ lý do.</w:t>
      </w:r>
    </w:p>
    <w:p w:rsidR="00324AA0" w:rsidRDefault="00D431D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24"/>
        <w:gridCol w:w="1067"/>
        <w:gridCol w:w="2258"/>
        <w:gridCol w:w="5062"/>
      </w:tblGrid>
      <w:tr w:rsidR="00324AA0">
        <w:tblPrEx>
          <w:tblCellMar>
            <w:top w:w="0" w:type="dxa"/>
            <w:bottom w:w="0" w:type="dxa"/>
          </w:tblCellMar>
        </w:tblPrEx>
        <w:tc>
          <w:tcPr>
            <w:tcW w:w="15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Hình thức nộp</w:t>
            </w:r>
          </w:p>
        </w:tc>
        <w:tc>
          <w:tcPr>
            <w:tcW w:w="20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Phí, lệ phí</w:t>
            </w:r>
          </w:p>
        </w:tc>
        <w:tc>
          <w:tcPr>
            <w:tcW w:w="30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Mô tả</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Trực tiếp</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30 Ngày làm việc</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Phí :   (Theo quy định của Bộ Tài chính)</w:t>
            </w:r>
            <w:r>
              <w:rPr>
                <w:rFonts w:ascii="Times New Roman" w:eastAsia="Times New Roman" w:hAnsi="Times New Roman" w:cs="Times New Roman"/>
                <w:sz w:val="26"/>
              </w:rPr>
              <w:br/>
              <w:t>File đính kèm: 139284.pdf</w:t>
            </w:r>
          </w:p>
          <w:p w:rsidR="00324AA0" w:rsidRDefault="00D431DA">
            <w:pPr>
              <w:spacing w:after="0" w:line="276" w:lineRule="auto"/>
            </w:pPr>
            <w:r>
              <w:rPr>
                <w:rFonts w:ascii="Times New Roman" w:eastAsia="Times New Roman" w:hAnsi="Times New Roman" w:cs="Times New Roman"/>
                <w:sz w:val="26"/>
              </w:rPr>
              <w:t>Lệ phí :   (Theo quy định của Bộ Tài chính)</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Thương nhân gửi hồ sơ qua đường công văn hoặc qua thư điện tử theo địa chỉ do Sở Công Thương thông báo trên trang thông tin điện tử.</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Trực tuyến</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30 Ngày làm việc</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Phí :   (Theo quy định của Bộ Tài chính)</w:t>
            </w:r>
            <w:r>
              <w:rPr>
                <w:rFonts w:ascii="Times New Roman" w:eastAsia="Times New Roman" w:hAnsi="Times New Roman" w:cs="Times New Roman"/>
                <w:sz w:val="26"/>
              </w:rPr>
              <w:br/>
            </w:r>
            <w:r>
              <w:rPr>
                <w:rFonts w:ascii="Times New Roman" w:eastAsia="Times New Roman" w:hAnsi="Times New Roman" w:cs="Times New Roman"/>
                <w:sz w:val="26"/>
              </w:rPr>
              <w:lastRenderedPageBreak/>
              <w:t>File đính kèm: 139284.pdf</w:t>
            </w:r>
          </w:p>
          <w:p w:rsidR="00324AA0" w:rsidRDefault="00D431DA">
            <w:pPr>
              <w:spacing w:after="0" w:line="276" w:lineRule="auto"/>
            </w:pPr>
            <w:r>
              <w:rPr>
                <w:rFonts w:ascii="Times New Roman" w:eastAsia="Times New Roman" w:hAnsi="Times New Roman" w:cs="Times New Roman"/>
                <w:sz w:val="26"/>
              </w:rPr>
              <w:t>Lệ phí :   (Theo quy định của Bộ Tài chính)</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Thương nhân gửi hồ sơ qua đường công văn hoặc qua thư điện tử theo địa chỉ do Sở Công Thương thông báo trên trang thông tin điện tử.</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Dịch vụ bưu chính</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30 Ngày làm việc</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Phí :   (Theo quy định của Bộ Tài chính)</w:t>
            </w:r>
            <w:r>
              <w:rPr>
                <w:rFonts w:ascii="Times New Roman" w:eastAsia="Times New Roman" w:hAnsi="Times New Roman" w:cs="Times New Roman"/>
                <w:sz w:val="26"/>
              </w:rPr>
              <w:br/>
              <w:t>File đính kèm: 139284.pdf</w:t>
            </w:r>
          </w:p>
          <w:p w:rsidR="00324AA0" w:rsidRDefault="00D431DA">
            <w:pPr>
              <w:spacing w:after="0" w:line="276" w:lineRule="auto"/>
            </w:pPr>
            <w:r>
              <w:rPr>
                <w:rFonts w:ascii="Times New Roman" w:eastAsia="Times New Roman" w:hAnsi="Times New Roman" w:cs="Times New Roman"/>
                <w:sz w:val="26"/>
              </w:rPr>
              <w:t>Lệ phí :   (Theo quy định của Bộ Tài chính)</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Thương nhân gửi hồ sơ qua đường công văn hoặc qua thư điện tử theo địa chỉ do Sở Công Thương thông báo trên trang thông tin điện tử.</w:t>
            </w:r>
          </w:p>
        </w:tc>
      </w:tr>
    </w:tbl>
    <w:p w:rsidR="00324AA0" w:rsidRDefault="00D431DA">
      <w:pPr>
        <w:spacing w:before="240" w:after="0" w:line="276" w:lineRule="auto"/>
        <w:jc w:val="both"/>
      </w:pPr>
      <w:r>
        <w:rPr>
          <w:rFonts w:ascii="Times New Roman" w:eastAsia="Times New Roman" w:hAnsi="Times New Roman" w:cs="Times New Roman"/>
          <w:b/>
          <w:sz w:val="26"/>
        </w:rPr>
        <w:t xml:space="preserve">Thành phần hồ sơ: </w:t>
      </w:r>
    </w:p>
    <w:p w:rsidR="00324AA0" w:rsidRDefault="00D431D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51"/>
        <w:gridCol w:w="1338"/>
        <w:gridCol w:w="922"/>
      </w:tblGrid>
      <w:tr w:rsidR="00324AA0">
        <w:tblPrEx>
          <w:tblCellMar>
            <w:top w:w="0" w:type="dxa"/>
            <w:bottom w:w="0" w:type="dxa"/>
          </w:tblCellMar>
        </w:tblPrEx>
        <w:tc>
          <w:tcPr>
            <w:tcW w:w="60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Tên giấy tờ</w:t>
            </w:r>
          </w:p>
        </w:tc>
        <w:tc>
          <w:tcPr>
            <w:tcW w:w="20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Mẫu đơn, tờ khai</w:t>
            </w:r>
          </w:p>
        </w:tc>
        <w:tc>
          <w:tcPr>
            <w:tcW w:w="20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Số lượng</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 Đơn đề nghị cấp Giấy xác nhận đủ điều kiện làm đại lý bán lẻ xăng dầu theo Mẫu số 9 tại Phụ lục kèm theo Nghị định số 83/2014/NĐ-CP;</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Mus9.docx</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 Bản sao Giấy chứng nhận đăng ký doanh nghiệp,</w:t>
            </w:r>
          </w:p>
        </w:tc>
        <w:tc>
          <w:tcPr>
            <w:tcW w:w="0" w:type="auto"/>
          </w:tcPr>
          <w:p w:rsidR="00324AA0" w:rsidRDefault="00324AA0"/>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+Bản sao giấy tờ chứng minh đào tạo nghiệp vụ của cán bộ quản lý, nhân viên trực tiếp kinh doanh theo quy định tại khoản 3 Điều 19 Nghị định số 83/2014/NĐ-CP;</w:t>
            </w:r>
          </w:p>
        </w:tc>
        <w:tc>
          <w:tcPr>
            <w:tcW w:w="0" w:type="auto"/>
          </w:tcPr>
          <w:p w:rsidR="00324AA0" w:rsidRDefault="00324AA0"/>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lastRenderedPageBreak/>
              <w:t>+ Bản kê cơ sở vật chất kỹ thuật phục vụ kinh doanh xăng dầu theo quy định tại khoản 15 Điều 1 Nghị định số 95/2021/NĐ-CP, kèm theo các tài liệu chứng minh;</w:t>
            </w:r>
          </w:p>
        </w:tc>
        <w:tc>
          <w:tcPr>
            <w:tcW w:w="0" w:type="auto"/>
          </w:tcPr>
          <w:p w:rsidR="00324AA0" w:rsidRDefault="00324AA0"/>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 Bản gốc văn bản xác nhận của thương nhân cung cấp xăng dầu cho đại lý có thời hạn tối thiểu một (01) năm, trong đó ghi rõ chủng loại xăng dầu.</w:t>
            </w:r>
          </w:p>
        </w:tc>
        <w:tc>
          <w:tcPr>
            <w:tcW w:w="0" w:type="auto"/>
          </w:tcPr>
          <w:p w:rsidR="00324AA0" w:rsidRDefault="00324AA0"/>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 Trường hợp Giấy xác nhận đủ điều kiện làm đại lý bán lẻ xăng dầu hết hiệu lực thi hành, thương nhân phải lập hồ sơ như đối với trường hợp cấp mới quy định tại Điểm a khoản 4 Điều 20 Nghị định số 83/2014/NĐ-CP và gửi về cơ quan có thẩm quyền trước ba mươi (30) ngày, trước khi Giấy xác nhận hết hiệu lực.</w:t>
            </w:r>
          </w:p>
        </w:tc>
        <w:tc>
          <w:tcPr>
            <w:tcW w:w="0" w:type="auto"/>
          </w:tcPr>
          <w:p w:rsidR="00324AA0" w:rsidRDefault="00324AA0"/>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324AA0" w:rsidRDefault="00D431D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324AA0" w:rsidRDefault="00D431D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rsidR="00324AA0" w:rsidRDefault="00D431D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24AA0" w:rsidRDefault="00D431D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24AA0" w:rsidRDefault="00D431D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24AA0" w:rsidRDefault="00D431D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24AA0" w:rsidRDefault="00D431D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đủ điều kiện làm đại lý bán lẻ xăng dầu</w:t>
      </w:r>
    </w:p>
    <w:p w:rsidR="00324AA0" w:rsidRDefault="00D431D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72"/>
        <w:gridCol w:w="5606"/>
        <w:gridCol w:w="849"/>
        <w:gridCol w:w="1384"/>
      </w:tblGrid>
      <w:tr w:rsidR="00324AA0">
        <w:tblPrEx>
          <w:tblCellMar>
            <w:top w:w="0" w:type="dxa"/>
            <w:bottom w:w="0" w:type="dxa"/>
          </w:tblCellMar>
        </w:tblPrEx>
        <w:tc>
          <w:tcPr>
            <w:tcW w:w="20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Số ký hiệu</w:t>
            </w:r>
          </w:p>
        </w:tc>
        <w:tc>
          <w:tcPr>
            <w:tcW w:w="35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Trích yếu</w:t>
            </w:r>
          </w:p>
        </w:tc>
        <w:tc>
          <w:tcPr>
            <w:tcW w:w="15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Ngày ban hành</w:t>
            </w:r>
          </w:p>
        </w:tc>
        <w:tc>
          <w:tcPr>
            <w:tcW w:w="3000" w:type="dxa"/>
          </w:tcPr>
          <w:p w:rsidR="00324AA0" w:rsidRDefault="00324AA0"/>
          <w:p w:rsidR="00324AA0" w:rsidRDefault="00D431DA">
            <w:pPr>
              <w:spacing w:after="0" w:line="276" w:lineRule="auto"/>
              <w:jc w:val="center"/>
            </w:pPr>
            <w:r>
              <w:rPr>
                <w:rFonts w:ascii="Times New Roman" w:eastAsia="Times New Roman" w:hAnsi="Times New Roman" w:cs="Times New Roman"/>
                <w:b/>
                <w:sz w:val="26"/>
              </w:rPr>
              <w:t>Cơ quan ban hành</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83/2014/NĐ-CP</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Nghị định 83/2014/NĐ-CP</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03-09-2014</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Chính phủ</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38/2014/TT-BCT</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Thông tư 38/2014/TT-BCT</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24-10-2014</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Bộ Công thương</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95/2021/NĐ-CP</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 xml:space="preserve">Nghị định 95/2021/NĐ-CP sửa đổi, bổ sung một số điều của Nghị định số 83/2014/NĐ-CP ngày 03 tháng </w:t>
            </w:r>
            <w:r>
              <w:rPr>
                <w:rFonts w:ascii="Times New Roman" w:eastAsia="Times New Roman" w:hAnsi="Times New Roman" w:cs="Times New Roman"/>
                <w:sz w:val="26"/>
              </w:rPr>
              <w:lastRenderedPageBreak/>
              <w:t>9 năm 2014 của Chính phủ về kinh doanh xăng dầu.</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01-11-2021</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Chính phủ</w:t>
            </w:r>
          </w:p>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17/2021/TT-BCT</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Thông tư 17/2021/TT-BCT</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19-11-2021</w:t>
            </w:r>
          </w:p>
        </w:tc>
        <w:tc>
          <w:tcPr>
            <w:tcW w:w="0" w:type="auto"/>
          </w:tcPr>
          <w:p w:rsidR="00324AA0" w:rsidRDefault="00324AA0"/>
        </w:tc>
      </w:tr>
      <w:tr w:rsidR="00324AA0">
        <w:tblPrEx>
          <w:tblCellMar>
            <w:top w:w="0" w:type="dxa"/>
            <w:bottom w:w="0" w:type="dxa"/>
          </w:tblCellMar>
        </w:tblPrEx>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18/2025/TT-BCT</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Thông tư số 18/2025/TT-BCT của Bộ Công thương: Sửa đổi, bổ sung, bãi bỏ một số quy định tại các Thông tư quy định về kinh doanh xăng dầu</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13-03-2025</w:t>
            </w:r>
          </w:p>
        </w:tc>
        <w:tc>
          <w:tcPr>
            <w:tcW w:w="0" w:type="auto"/>
          </w:tcPr>
          <w:p w:rsidR="00324AA0" w:rsidRDefault="00324AA0"/>
          <w:p w:rsidR="00324AA0" w:rsidRDefault="00D431DA">
            <w:pPr>
              <w:spacing w:after="0" w:line="276" w:lineRule="auto"/>
            </w:pPr>
            <w:r>
              <w:rPr>
                <w:rFonts w:ascii="Times New Roman" w:eastAsia="Times New Roman" w:hAnsi="Times New Roman" w:cs="Times New Roman"/>
                <w:sz w:val="26"/>
              </w:rPr>
              <w:t>Bộ Công thương</w:t>
            </w:r>
          </w:p>
        </w:tc>
      </w:tr>
    </w:tbl>
    <w:p w:rsidR="00324AA0" w:rsidRDefault="00D431D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Doanh nghiệp được thành lập theo quy định của pháp luật, trong Giấy chứng nhận đăng ký doanh nghiệp có đăng ký kinh doanh xăng dầu. 2.  Có cửa hàng bán lẻ xăng dầu thuộc sở hữu hoặc thuê với thời hạn thuê từ năm (05) năm trở lên được cấp Giấy chứng nhận cửa hàng đủ điều kiện bán lẻ xăng dầu theo quy định tại Điều 25 Nghị định số 83/2014/NĐ-CP và khoản 20 Điều 1 Nghị định số 95/2021/NĐ-CP.  3. Cán bộ quản lý, nhân viên trực tiếp kinh doanh phải được đào tạo, huấn luyện và có chứng chỉ đào tạo, huấn luyện </w:t>
      </w:r>
      <w:r>
        <w:rPr>
          <w:rFonts w:ascii="Times New Roman" w:eastAsia="Times New Roman" w:hAnsi="Times New Roman" w:cs="Times New Roman"/>
          <w:sz w:val="26"/>
        </w:rPr>
        <w:t>nghiệp vụ về phòng cháy, chữa cháy và bảo vệ môi trường theo quy định của pháp luật hiện hành.</w:t>
      </w:r>
    </w:p>
    <w:p w:rsidR="00324AA0" w:rsidRDefault="00D431D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24AA0" w:rsidRDefault="00D431D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https://thutuc.dichvucong.gov.vn/p/home/dvc-tthc-thu-tuc-hanh-chinh-chi-tiet.html?ma_thu_tuc=2134</w:t>
      </w:r>
    </w:p>
    <w:sectPr w:rsidR="00324AA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24AA0"/>
    <w:rsid w:val="00324AA0"/>
    <w:rsid w:val="00836002"/>
    <w:rsid w:val="00D43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3C3FCA-6054-4A4A-8A68-6C9B70BF4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2025-11-27T08:40:00Z</dcterms:created>
  <dcterms:modified xsi:type="dcterms:W3CDTF">2025-11-27T08:40:00Z</dcterms:modified>
</cp:coreProperties>
</file>