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2.001313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phương án ứng phó thiên tai cho công trình vùng hạ du đập thủy điện thuộc thẩm quyền phê duyệt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 Bước 1: Tổ chức, cá nhân gửi hồ sơ đến Sở Công Thương;</w:t>
      </w:r>
    </w:p>
    <w:p>
      <w:pPr>
        <w:spacing w:after="0" w:before="0" w:lineRule="auto" w:line="276"/>
        <w:jc w:val="both"/>
      </w:pPr>
      <w:r>
        <w:rPr>
          <w:rFonts w:ascii="Times New Roman" w:hAnsi="Times New Roman" w:cs="Times New Roman" w:eastAsia="Times New Roman"/>
          <w:b w:val="false"/>
          <w:sz w:val="26"/>
        </w:rPr>
        <w:t>- Bước 2: Trong thời hạn 03 ngày làm việc, kể từ ngày nhận hồ sơ, cơ quan tiếp nhận hồ sơ có trách nhiệm xem xét, kiểm tra hồ sơ; trường hợp hồ sơ không hợp lệ, cơ quan tiếp nhận hồ sơ thông báo bằng văn bản cho tổ chức, cá nhân đề nghị phê duyệt phương án để hoàn chỉnh hồ sơ theo quy định;</w:t>
      </w:r>
    </w:p>
    <w:p>
      <w:pPr>
        <w:spacing w:after="0" w:before="0" w:lineRule="auto" w:line="276"/>
        <w:jc w:val="both"/>
      </w:pPr>
      <w:r>
        <w:rPr>
          <w:rFonts w:ascii="Times New Roman" w:hAnsi="Times New Roman" w:cs="Times New Roman" w:eastAsia="Times New Roman"/>
          <w:b w:val="false"/>
          <w:sz w:val="26"/>
        </w:rPr>
        <w:t>- Bước 3: Trong thời hạn 20 ngày làm việc, kể từ ngày nhận đầy đủ hồ sơ hợp lệ, cơ quan tiếp nhận hồ sơ có trách nhiệm thẩm định hồ sơ, kiểm tra thực tế hiện trường khi cần thiết, trình cấp có thẩm quyền xem xét phê duyệt; trường hợp không đủ điều kiện phê duyệt, cơ quan tiếp nhận trả lại hồ sơ cho tổ chức, cá nhân đề nghị phê duyệt và thông báo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đầy đủ hồ sơ hợp lệ, cơ quan tiếp nhận hồ sơ có trách nhiệm thẩm định hồ sơ, kiểm tra thực tế hiện trường khi cần thiết, trình cấp có thẩm quyền xem xét phê duyệt.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đầy đủ hồ sơ hợp lệ, cơ quan tiếp nhận hồ sơ có trách nhiệm thẩm định hồ sơ, kiểm tra thực tế hiện trường khi cần thiết, trình cấp có thẩm quyền xem xét phê duyệt.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 phương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phương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góp ý kiến của các cơ quan, đơn vị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liên quan kèm theo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ứng phó thiên tai cho công trình, vùng hạ du đập thủy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08/2017/QH14</w:t>
            </w:r>
          </w:p>
        </w:tc>
        <w:tc>
          <w:p/>
          <w:p>
            <w:pPr>
              <w:spacing w:after="0" w:before="0" w:lineRule="auto" w:line="276"/>
              <w:jc w:val="left"/>
            </w:pPr>
            <w:r>
              <w:rPr>
                <w:rFonts w:ascii="Times New Roman" w:hAnsi="Times New Roman" w:cs="Times New Roman" w:eastAsia="Times New Roman"/>
                <w:b w:val="false"/>
                <w:sz w:val="26"/>
              </w:rPr>
              <w:t>Luật 08/2017/QH14</w:t>
            </w:r>
          </w:p>
        </w:tc>
        <w:tc>
          <w:p/>
          <w:p>
            <w:pPr>
              <w:spacing w:after="0" w:before="0" w:lineRule="auto" w:line="276"/>
              <w:jc w:val="left"/>
            </w:pPr>
            <w:r>
              <w:rPr>
                <w:rFonts w:ascii="Times New Roman" w:hAnsi="Times New Roman" w:cs="Times New Roman" w:eastAsia="Times New Roman"/>
                <w:b w:val="false"/>
                <w:sz w:val="26"/>
              </w:rPr>
              <w:t>19-06-2017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114/2018/NĐ-CP</w:t>
            </w:r>
          </w:p>
        </w:tc>
        <w:tc>
          <w:p/>
          <w:p>
            <w:pPr>
              <w:spacing w:after="0" w:before="0" w:lineRule="auto" w:line="276"/>
              <w:jc w:val="left"/>
            </w:pPr>
            <w:r>
              <w:rPr>
                <w:rFonts w:ascii="Times New Roman" w:hAnsi="Times New Roman" w:cs="Times New Roman" w:eastAsia="Times New Roman"/>
                <w:b w:val="false"/>
                <w:sz w:val="26"/>
              </w:rPr>
              <w:t>Nghị định 114/2018/NĐ-CP</w:t>
            </w:r>
          </w:p>
        </w:tc>
        <w:tc>
          <w:p/>
          <w:p>
            <w:pPr>
              <w:spacing w:after="0" w:before="0" w:lineRule="auto" w:line="276"/>
              <w:jc w:val="left"/>
            </w:pPr>
            <w:r>
              <w:rPr>
                <w:rFonts w:ascii="Times New Roman" w:hAnsi="Times New Roman" w:cs="Times New Roman" w:eastAsia="Times New Roman"/>
                <w:b w:val="false"/>
                <w:sz w:val="26"/>
              </w:rPr>
              <w:t>04-09-2018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2025-11-27T08:41:10Z</dcterms:created>
  <dc:creator>Apache POI</dc:creator>
</cp:coreProperties>
</file>