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2.001630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688A/QĐ-BCT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Giấy phép sản xuất rượu công nghiệp (quy mô dưới 3 triệu lít/năm)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Lưu thông hàng hóa trong nước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Trường hợp cấp lại do hết thời hạn hiệu lực:</w:t>
      </w:r>
    </w:p>
    <w:p>
      <w:pPr>
        <w:spacing w:after="0" w:before="0" w:lineRule="auto" w:line="276"/>
        <w:jc w:val="both"/>
      </w:pPr>
      <w:r>
        <w:rPr>
          <w:rFonts w:ascii="Times New Roman" w:hAnsi="Times New Roman" w:cs="Times New Roman" w:eastAsia="Times New Roman"/>
          <w:b w:val="false"/>
          <w:sz w:val="26"/>
        </w:rPr>
        <w:t>Thương nhân phải nộp hồ sơ đề nghị cấp lại giấy phép trước thời hạn hết hiệu lực của giấy phép 30 ngày. Hồ sơ, thẩm quyền, thủ tục cấp lại đối với trường hợp này áp dụng như quy định đối với trường hợp cấp mới.</w:t>
      </w:r>
    </w:p>
    <w:p>
      <w:pPr>
        <w:shd w:val="clear" w:color="auto" w:fill="F2F6F9"/>
        <w:spacing w:after="0" w:before="120" w:lineRule="auto" w:line="276"/>
        <w:jc w:val="both"/>
      </w:pPr>
      <w:r>
        <w:rPr>
          <w:rFonts w:ascii="Times New Roman" w:hAnsi="Times New Roman" w:cs="Times New Roman" w:eastAsia="Times New Roman"/>
          <w:b w:val="true"/>
          <w:sz w:val="26"/>
        </w:rPr>
        <w:t>Trường hợp cấp lại giấy phép do bị mất hoặc bị hỏng:</w:t>
      </w:r>
    </w:p>
    <w:p>
      <w:pPr>
        <w:spacing w:after="0" w:before="0" w:lineRule="auto" w:line="276"/>
        <w:jc w:val="both"/>
      </w:pPr>
      <w:r>
        <w:rPr>
          <w:rFonts w:ascii="Times New Roman" w:hAnsi="Times New Roman" w:cs="Times New Roman" w:eastAsia="Times New Roman"/>
          <w:b w:val="false"/>
          <w:sz w:val="26"/>
        </w:rPr>
        <w:t>- Thương nhân nộp hồ sơ đến Sở Công Thương
- Trong thời hạn 07 ngày làm việc kể từ ngày nhận đủ hồ sơ hợp lệ, Sở Công Thương xem xét và cấp lại giấy phép theo Mẫu số 07 ban hành kèm theo Nghị định 17/2020/NĐ-CP
Trường hợp từ chối cấp phải trả lời bằng văn bản và nêu rõ lý do. 
Trường hợp chưa đủ hồ sơ hợp lệ, trong vòng 03 ngày làm việc kể từ ngày tiếp nhận hồ sơ, cơ quan cấp lại giấy phép phải có văn bản yêu cầu bổ sung.</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Bộ Tài chính)</w:t>
            </w:r>
          </w:p>
          <w:p>
            <w:pPr>
              <w:spacing w:after="0" w:before="0" w:lineRule="auto" w:line="276"/>
              <w:jc w:val="left"/>
            </w:pPr>
            <w:r>
              <w:rPr>
                <w:rFonts w:ascii="Times New Roman" w:hAnsi="Times New Roman" w:cs="Times New Roman" w:eastAsia="Times New Roman"/>
                <w:b w:val="false"/>
                <w:sz w:val="26"/>
              </w:rPr>
              <w:t xml:space="preserve">Lệ phí :  </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7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Bộ Tài chính)</w:t>
            </w:r>
          </w:p>
          <w:p>
            <w:pPr>
              <w:spacing w:after="0" w:before="0" w:lineRule="auto" w:line="276"/>
              <w:jc w:val="left"/>
            </w:pPr>
            <w:r>
              <w:rPr>
                <w:rFonts w:ascii="Times New Roman" w:hAnsi="Times New Roman" w:cs="Times New Roman" w:eastAsia="Times New Roman"/>
                <w:b w:val="false"/>
                <w:sz w:val="26"/>
              </w:rPr>
              <w:t xml:space="preserve">Lệ phí :  </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Trong thời hạn 07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Bộ Tài chính)</w:t>
            </w:r>
          </w:p>
          <w:p>
            <w:pPr>
              <w:spacing w:after="0" w:before="0" w:lineRule="auto" w:line="276"/>
              <w:jc w:val="left"/>
            </w:pPr>
            <w:r>
              <w:rPr>
                <w:rFonts w:ascii="Times New Roman" w:hAnsi="Times New Roman" w:cs="Times New Roman" w:eastAsia="Times New Roman"/>
                <w:b w:val="false"/>
                <w:sz w:val="26"/>
              </w:rPr>
              <w:t xml:space="preserve">Lệ phí :  </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Trong thời hạn 07 ngày làm việc kể từ ngày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 Trường hợp cấp lại do hết thời hạn hiệu lực</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Hồ sơ cấp lại đối với trường hợp này áp dụng như quy định đối với trường hợp cấp mới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Trường hợp cấp lại giấy phép do bị mất hoặc bị hỏng</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cấp lại theo Mẫu số 03 ban hành tại Nghị định 17/2020/NĐ-CP và bản gốc hoặc bản sao giấy phép đã cấp (nếu có);</w:t>
            </w:r>
          </w:p>
        </w:tc>
        <w:tc>
          <w:p/>
          <w:p>
            <w:pPr>
              <w:spacing w:after="0" w:before="0" w:lineRule="auto" w:line="276"/>
              <w:jc w:val="left"/>
            </w:pPr>
            <w:r>
              <w:rPr>
                <w:rFonts w:ascii="Times New Roman" w:hAnsi="Times New Roman" w:cs="Times New Roman" w:eastAsia="Times New Roman"/>
                <w:b w:val="false"/>
                <w:sz w:val="26"/>
              </w:rPr>
              <w:t>MẪU SỐ 03 RƯỢU.docx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sản xuất rượu công nghiệp (quy mô dưới 3 triệu lít/năm) (cấp lại)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Nghị định 105/2017/NĐ-CP</w:t>
            </w:r>
          </w:p>
        </w:tc>
        <w:tc>
          <w:p/>
          <w:p>
            <w:pPr>
              <w:spacing w:after="0" w:before="0" w:lineRule="auto" w:line="276"/>
              <w:jc w:val="left"/>
            </w:pPr>
            <w:r>
              <w:rPr>
                <w:rFonts w:ascii="Times New Roman" w:hAnsi="Times New Roman" w:cs="Times New Roman" w:eastAsia="Times New Roman"/>
                <w:b w:val="false"/>
                <w:sz w:val="26"/>
              </w:rPr>
              <w:t>Về kinh doanh rượu</w:t>
            </w:r>
          </w:p>
        </w:tc>
        <w:tc>
          <w:p/>
          <w:p>
            <w:pPr>
              <w:spacing w:after="0" w:before="0" w:lineRule="auto" w:line="276"/>
              <w:jc w:val="left"/>
            </w:pPr>
            <w:r>
              <w:rPr>
                <w:rFonts w:ascii="Times New Roman" w:hAnsi="Times New Roman" w:cs="Times New Roman" w:eastAsia="Times New Roman"/>
                <w:b w:val="false"/>
                <w:sz w:val="26"/>
              </w:rPr>
              <w:t>14-09-2017</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17/2020/NĐ-CP</w:t>
            </w:r>
          </w:p>
        </w:tc>
        <w:tc>
          <w:p/>
          <w:p>
            <w:pPr>
              <w:spacing w:after="0" w:before="0" w:lineRule="auto" w:line="276"/>
              <w:jc w:val="left"/>
            </w:pPr>
            <w:r>
              <w:rPr>
                <w:rFonts w:ascii="Times New Roman" w:hAnsi="Times New Roman" w:cs="Times New Roman" w:eastAsia="Times New Roman"/>
                <w:b w:val="false"/>
                <w:sz w:val="26"/>
              </w:rPr>
              <w:t>Nghị định 17/2020/NĐ-CP</w:t>
            </w:r>
          </w:p>
        </w:tc>
        <w:tc>
          <w:p/>
          <w:p>
            <w:pPr>
              <w:spacing w:after="0" w:before="0" w:lineRule="auto" w:line="276"/>
              <w:jc w:val="left"/>
            </w:pPr>
            <w:r>
              <w:rPr>
                <w:rFonts w:ascii="Times New Roman" w:hAnsi="Times New Roman" w:cs="Times New Roman" w:eastAsia="Times New Roman"/>
                <w:b w:val="false"/>
                <w:sz w:val="26"/>
              </w:rPr>
              <w:t>05-02-2020</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Là doanh nghiệp được thành lập theo quy định của pháp luật
- Có dây chuyền máy móc, thiết bị, quy trình công nghệ sản xuất rượu đáp ứng quy mô dự kiến sản xuất.
- Bảo đảm các điều kiện về an toàn thực phẩm theo quy định.
- Bảo đảm các điều kiện về bảo vệ môi trường theo quy định.
- Đáp ứng các quy định về ghi nhãn hàng hóa rượu.
- Có cán bộ kỹ thuật có trình độ, chuyên môn phù hợp với ngành, nghề sản xuất rượu.</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https://thutuc.dichvucong.gov.vn/p/home/dvc-tthc-thu-tuc-hanh-chinh-chi-tiet.html?ma_thu_tuc=5515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2025-11-27T08:41:58Z</dcterms:created>
  <dc:creator>Apache POI</dc:creator>
</cp:coreProperties>
</file>