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thay đổi, bổ sung phạm vi chỉ định cơ sở kiểm nghiệm thực phẩm phục vụ quản lý nhà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sở kiểm nghiệm đã được chỉ định khi có thay đổi, bổ sung phạm vi chỉ định phải thực hiện việc đăng ký thay đổi, bổ sung gửi cơ quan quản lý nhà nước có thẩm quyền. Hồ sơ đăng ký thay đổi, bổ sung phạm vi chỉ định được thực hiện theo quy định tại Điều 6 Thông tư liên tịch số 20/2013/TTLT-BYT-BCT-BNNPTNT. Trường hợp cơ sở kiểm nghiệm đã được chỉ định có thay đổi tư cách pháp nhân hoặc địa chỉ cơ sở phải có văn bản nêu rõ các nội dung thay đổi.
- Trong thời gian mười (10) ngày làm việc, kể từ ngày nhận hồ sơ, cơ quan quản lý nhà nước có thẩm quyền tiến hành soát xét hồ sơ. Nếu có yêu cầu sửa đổi, bổ sung phải có văn bản thông báo cho đơn vị nộp hồ sơ để hoàn chỉnh hồ sơ theo đúng quy định. Trường hợp không có yêu cầu sửa đổi, bổ sung thì cơ quan quản lý nhà nước có thẩm quyền tiến hành đánh giá theo quy định tại Điều 10 Thông tư liên tịch số 20/2013/TTLT-BYT-BCT-BNNPTNT.
- Đối với cơ sở kiểm nghiệm không thuộc đối tượng quy định tại điểm đ khoản 3 Điều 6 Thông tư liên tịch số 20/2013/TTLT-BYT-BCT-BNNPTNT:
+ Trong thời gian mười lăm (15) ngày làm việc, kể từ ngày nhận hồ sơ đầy đủ, hợp lệ, cơ quan quản lý nhà nước có thẩm quyền ký ban hành quyết định thành lập đoàn đánh giá cơ sở kiểm nghiệm.
+ Đoàn đánh giá cơ sở kiểm nghiệm bao gồm các thành viên có kiến thức chuyên môn và kinh nghiệm về lĩnh vực đánh giá, chỉ định.
+ Quyết định thành lập đoàn đánh giá phải nêu rõ phạm vi, nội dung đánh giá, danh sách và phân công trách nhiệm của từng thành viên tiến hành đánh giá tại cơ sở kiểm nghiệm. Trong thời gian năm (05) ngày làm việc, kể từ khi kết thúc đánh giá tại cơ sở 3 đoàn đánh giá phải gửi kết luận về cơ quan quản lý nhà nước có thẩm quyền (Mẫu Biên bản đánh giá cơ sở kiểm nghiệm quy định tại Phụ lục 5 ban hành kèm theo Thông tư liên tịch này).
+ Trong thời gian mười lăm (15) ngày làm việc, kể từ khi nhận được kết luận của đoàn đánh giá, cơ quan quản lý nhà nước có thẩm quyền có trách nhiệm xem xét và chỉ định đơn vị kiểm nghiệm nếu đạt yêu cầu (mẫu Quyết định chỉ định quy định tại Phụ lục 6 ban hành kèm theo Thông tư liên tịch số 20/2013/TTLT-BYT-BCT-BNNPTNT). Nếu không đạt yêu cầu, cơ quan quản lý nhà nước có thẩm quyền phải có thông báo bằng văn bản về lý do không chỉ định cho cơ sở kiểm nghiệm.
+ Trong trường hợp cần thiết, cơ quan quản lý nhà nước có thẩm quyền có thể thành lập hội đồng tư vấn trước khi ký ban hành Quyết định chỉ định.
- Đối với cơ sở kiểm nghiệm quy định tại điểm đ khoản 3 Điều 6 Thông tư liên tịch số 20/2013/TTLT-BYT-BCT-BNNPTNT:
+ Trong thời gian ba mươi (30) ngày làm việc, kể từ ngày nhận hồ sơ đầy đủ, hợp lệ, cơ quan quản lý nhà nước có thẩm quyền thẩm định hồ sơ. Nếu hồ sơ năng lực đáp ứng theo quy định tại Điều 4, Điều 5 của Thông tư liên tịch số 20/2013/TTLT-BYT-BCT-BNNPTNT và các yêu cầu của Bộ quản lý ngành, cơ quan quản lý nhà nước có thẩm quyền ký ban hành Quyết định chỉ định cơ sở kiểm nghiệm kèm theo danh mục các chỉ tiêu/phép thử.
Trường hợp hồ sơ không đạt yêu cầu, cơ quan quản lý nhà nước có thẩm quyền phải có thông báo bằng văn bản về lý do không chỉ định cho cơ sở kiểm nghiệm.
+ Trong trường hợp cần thiết (kết quả thẩm định hồ sơ chưa đủ cơ sở kết luận năng lực phân tích của cơ sở đáp ứng theo quy định tại Điều 5 Thông tư liên tịch số 20/2013/TTLT-BYT-BCT-BNNPTNT), cơ quan quản lý nhà nước có thẩm quyền sẽ thành lập đoàn đánh giá để tiến hành đánh giá tại cơ sở kiểm nghiệm.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chỉ định cơ sở kiểm nghiệm theo mẫu quy định tại Phụ lục 1 - TTLT số 20/2013/TTLT-BYT-BCT-BNNPTNT;</w:t>
            </w:r>
          </w:p>
        </w:tc>
        <w:tc>
          <w:p/>
          <w:p>
            <w:pPr>
              <w:spacing w:after="0" w:before="0" w:lineRule="auto" w:line="276"/>
              <w:jc w:val="left"/>
            </w:pPr>
            <w:r>
              <w:rPr>
                <w:rFonts w:ascii="Times New Roman" w:hAnsi="Times New Roman" w:cs="Times New Roman" w:eastAsia="Times New Roman"/>
                <w:b w:val="false"/>
                <w:sz w:val="26"/>
              </w:rPr>
              <w:t>DKchidinhgiahanchidinh.docx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thành lập hoặc Giấy chứng nhận đăng ký kinh doanh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hồ sơ kỹ thuật và các quy trình liên quan đến chỉ tiêu/phép thử đăng ký chỉ định.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hồ sơ trang thiết bị chính, cơ sở hạ tầng (phù hợp nội dung báo cáo năng lực hoạt động cơ sở kiểm nghiệm theo mẫu quy định tại Phụ lục 2 - TTLT số 20/2013/TTLT-BYT-BCT-BNNPTNT);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hồ sơ kiểm nghiệm viên tương ứng với lĩnh vực đăng ký chỉ định kèm theo bản sao có chứng thực các chứng chỉ chuyên môn;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về bảo đảm chất lượng kiểm nghiệm: kế hoạch, kết quả thử nghiệm thành thạo hoặc so sánh liên phòng; Báo cáo kết quả kiểm tra thành thạo tay nghề của kiểm nghiệm viên đối với chỉ tiêu/phép thử đăng ký chỉ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năng lực cơ sở kiểm nghiệm theo mẫu quy định tại Phụ lục 2 - TTLT số 20/2013/TTLT-BYT-BCT-BNNPTNT;</w:t>
            </w:r>
          </w:p>
        </w:tc>
        <w:tc>
          <w:p/>
          <w:p>
            <w:pPr>
              <w:spacing w:after="0" w:before="0" w:lineRule="auto" w:line="276"/>
              <w:jc w:val="left"/>
            </w:pPr>
            <w:r>
              <w:rPr>
                <w:rFonts w:ascii="Times New Roman" w:hAnsi="Times New Roman" w:cs="Times New Roman" w:eastAsia="Times New Roman"/>
                <w:b w:val="false"/>
                <w:sz w:val="26"/>
              </w:rPr>
              <w:t>BCNLCSkiemnghiem.docx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Phiếu kết quả kiểm nghiệm theo quy định tại Phụ lục 3 - TTLT số 20/2013/TTLT-BYT-BCT-BNNPTNT;</w:t>
            </w:r>
          </w:p>
        </w:tc>
        <w:tc>
          <w:p/>
          <w:p>
            <w:pPr>
              <w:spacing w:after="0" w:before="0" w:lineRule="auto" w:line="276"/>
              <w:jc w:val="left"/>
            </w:pPr>
            <w:r>
              <w:rPr>
                <w:rFonts w:ascii="Times New Roman" w:hAnsi="Times New Roman" w:cs="Times New Roman" w:eastAsia="Times New Roman"/>
                <w:b w:val="false"/>
                <w:sz w:val="26"/>
              </w:rPr>
              <w:t>Phieukiemnghiem.docx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Kết quả hoạt động kiểm nghiệm đối với lĩnh vực đăng ký chỉ định trong  mười hai (12) tháng gần nhất theo mẫu quy định tại Phụ lục 4 - TTLT số 20/2013/TTLT-BYT-BCT-BNNPTNT.</w:t>
            </w:r>
          </w:p>
        </w:tc>
        <w:tc>
          <w:p/>
          <w:p>
            <w:pPr>
              <w:spacing w:after="0" w:before="0" w:lineRule="auto" w:line="276"/>
              <w:jc w:val="left"/>
            </w:pPr>
            <w:r>
              <w:rPr>
                <w:rFonts w:ascii="Times New Roman" w:hAnsi="Times New Roman" w:cs="Times New Roman" w:eastAsia="Times New Roman"/>
                <w:b w:val="false"/>
                <w:sz w:val="26"/>
              </w:rPr>
              <w:t>BCKQCSkiemnghiem.docx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cơ sở kiểm nghiệm đã được tổ chức công nhận hợp pháp của Việt Nam hoặc tổ chức công nhận nước ngoài là thành viên tham gia ký thỏa thuận thừa nhận lẫn nhau của Hiệp, hội Công nhận phòng thí nghiệm Quốc tế (ILAC - International Laboratory Accreditation Cooperation), Hiệp hội Công nhận phòng thí nghiệm Châu Á - Thái Bình Dương (APLAC - Asian Pacific Laboratory Accreditation Cooperation) đánh giá và cấp chứng chỉ công nhận theo Tiêu chuẩn quốc gia TCVN ISO/IEC 17025:2007 hoặc Tiêu chuẩn quốc tế ISO/IEC 17025:2005, đăng ký chỉ định các chỉ tiêu/phép thử trong phạm vi đã được công nhận: nộp các tài liệu nêu tại điểm a, b, c và d khoản 3 Điều 6 Thông tư liên tịch số 20/2013/TTLT-BYT-BCT-BNNPTNT; bản sao (có chứng thực) chứng chỉ công nhận, danh mục, phạm vi công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cơ sở kiểm nghiệm đã được chỉ định có thay đổi tư cách pháp nhân hoặc địa chỉ cơ sở phải có văn bản nêu rõ các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thay đổi, bổ sung phạm vi chỉ định cơ sở kiểm nghiệm thực phẩm phục vụ quản lý nhà nước.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127/2007/NĐ-CP</w:t>
            </w:r>
          </w:p>
        </w:tc>
        <w:tc>
          <w:p/>
          <w:p>
            <w:pPr>
              <w:spacing w:after="0" w:before="0" w:lineRule="auto" w:line="276"/>
              <w:jc w:val="left"/>
            </w:pPr>
            <w:r>
              <w:rPr>
                <w:rFonts w:ascii="Times New Roman" w:hAnsi="Times New Roman" w:cs="Times New Roman" w:eastAsia="Times New Roman"/>
                <w:b w:val="false"/>
                <w:sz w:val="26"/>
              </w:rPr>
              <w:t>Nghị định 127/2007/NĐ-CP - Quy định chi tiết thi hành một số điều của Luật Tiêu chuẩn và Quy chuẩn kỹ thuật</w:t>
            </w:r>
          </w:p>
        </w:tc>
        <w:tc>
          <w:p/>
          <w:p>
            <w:pPr>
              <w:spacing w:after="0" w:before="0" w:lineRule="auto" w:line="276"/>
              <w:jc w:val="left"/>
            </w:pPr>
            <w:r>
              <w:rPr>
                <w:rFonts w:ascii="Times New Roman" w:hAnsi="Times New Roman" w:cs="Times New Roman" w:eastAsia="Times New Roman"/>
                <w:b w:val="false"/>
                <w:sz w:val="26"/>
              </w:rPr>
              <w:t>01-08-2007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 -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38/2012/NĐ-CP</w:t>
            </w:r>
          </w:p>
        </w:tc>
        <w:tc>
          <w:p/>
          <w:p>
            <w:pPr>
              <w:spacing w:after="0" w:before="0" w:lineRule="auto" w:line="276"/>
              <w:jc w:val="left"/>
            </w:pPr>
            <w:r>
              <w:rPr>
                <w:rFonts w:ascii="Times New Roman" w:hAnsi="Times New Roman" w:cs="Times New Roman" w:eastAsia="Times New Roman"/>
                <w:b w:val="false"/>
                <w:sz w:val="26"/>
              </w:rPr>
              <w:t>Nghị định 38/2012/NĐ-CP-Quy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25-04-2012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20/2013/TTLT-BYT-BCT-BNNPTNT</w:t>
            </w:r>
          </w:p>
        </w:tc>
        <w:tc>
          <w:p/>
          <w:p>
            <w:pPr>
              <w:spacing w:after="0" w:before="0" w:lineRule="auto" w:line="276"/>
              <w:jc w:val="left"/>
            </w:pPr>
            <w:r>
              <w:rPr>
                <w:rFonts w:ascii="Times New Roman" w:hAnsi="Times New Roman" w:cs="Times New Roman" w:eastAsia="Times New Roman"/>
                <w:b w:val="false"/>
                <w:sz w:val="26"/>
              </w:rPr>
              <w:t>Thông tư liên tịch 20/2013/TTLT-BYT-BCT-BNNPTNT</w:t>
            </w:r>
          </w:p>
        </w:tc>
        <w:tc>
          <w:p/>
          <w:p>
            <w:pPr>
              <w:spacing w:after="0" w:before="0" w:lineRule="auto" w:line="276"/>
              <w:jc w:val="left"/>
            </w:pPr>
            <w:r>
              <w:rPr>
                <w:rFonts w:ascii="Times New Roman" w:hAnsi="Times New Roman" w:cs="Times New Roman" w:eastAsia="Times New Roman"/>
                <w:b w:val="false"/>
                <w:sz w:val="26"/>
              </w:rPr>
              <w:t>01-08-2013</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2025-11-27T08:42:05Z</dcterms:created>
  <dc:creator>Apache POI</dc:creator>
</cp:coreProperties>
</file>