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2.001675</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1781/QĐ-BCT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bổ sung, sửa đổi Giấy chứng nhận đăng ký hoạt động kiểm định</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Tiêu chuẩn đo lường chất lượng</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a) Trường hợp hồ sơ không đầy đủ theo quy định, trong thời hạn 05 ngày, kể từ ngày nhận được hồ sơ, cơ quan tiếp nhận hồ sơ thông báo bằng văn bản yêu cầu tổ chức kiểm định sửa đổi, bổ sung;
b) Trường hợp hồ sơ đầy đủ và hợp lệ, trong thời hạn 10 ngày làm việc, kể từ khi nhận được hồ sơ, Ủy ban nhân dân tỉnh/thành phố chịu trách nhiệm cấp Giấy chứng nhận cho tổ chức kiểm định theo Mẫu số 10 tại Phụ lục ban hành kèm theo Nghị định số 154/2018/NĐ-CP của Chính phủ</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Tổ chức kiểm định lập 01 bộ hồ sơ theo quy định tại Điều 10 Nghị định số 107/2016/NĐ-CP của Chính phủ được sửa đổi, bổ sung bởi Nghị định số 154/2018/NĐ-CP của Chính phủ và nộp theo một trong các hình thức sau:
1. Trường hợp nộp hồ sơ trực tiếp tại trụ sở cơ quan tiếp nhận hồ sơ, bản sao các chứng chỉ, tài liệu quy định tại Điều 10 Nghị định số 107/2016/NĐ-CP của Chính phủ được sửa đổi, bổ sung bởi Nghị định số 154/2018/NĐ-CP của Chính phủ chưa được chứng thực thì phải có bản chính để đối chiếu.
2. Trường hợp hồ sơ được gửi qua bưu điện, tổ chức kiểm định phải gửi bản sao đã được chứng thực các chứng chỉ, tài liệu quy định tại Điều 10 Nghị định số 107/2016/NĐ-CP của Chính phủ được sửa đổi, bổ sung bởi Nghị định số 154/2018/NĐ-CP của Chính phủ.
3. Trường hợp nộp hồ sơ qua Cổng thông tin điện tử của cơ quan tiếp nhận hồ sơ, thực hiện theo hình thức dịch vụ công trực tuyến.</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10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Tổ chức kiểm định lập 01 bộ hồ sơ theo quy định tại Điều 10 Nghị định số 107/2016/NĐ-CP của Chính phủ được sửa đổi, bổ sung bởi Nghị định số 154/2018/NĐ-CP của Chính phủ và nộp theo một trong các hình thức sau:
1. Trường hợp nộp hồ sơ trực tiếp tại trụ sở cơ quan tiếp nhận hồ sơ, bản sao các chứng chỉ, tài liệu quy định tại Điều 10 Nghị định số 107/2016/NĐ-CP của Chính phủ được sửa đổi, bổ sung bởi Nghị định số 154/2018/NĐ-CP của Chính phủ chưa được chứng thực thì phải có bản chính để đối chiếu.
2. Trường hợp hồ sơ được gửi qua bưu điện, tổ chức kiểm định phải gửi bản sao đã được chứng thực các chứng chỉ, tài liệu quy định tại Điều 10 Nghị định số 107/2016/NĐ-CP của Chính phủ được sửa đổi, bổ sung bởi Nghị định số 154/2018/NĐ-CP của Chính phủ.
3. Trường hợp nộp hồ sơ qua Cổng thông tin điện tử của cơ quan tiếp nhận hồ sơ, thực hiện theo hình thức dịch vụ công trực tuyến.</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Tổ chức kiểm định lập 01 bộ hồ sơ theo quy định tại Điều 10 Nghị định số 107/2016/NĐ-CP của Chính phủ được sửa đổi, bổ sung bởi Nghị định số 154/2018/NĐ-CP của Chính phủ và nộp theo một trong các hình thức sau:
1. Trường hợp nộp hồ sơ trực tiếp tại trụ sở cơ quan tiếp nhận hồ sơ, bản sao các chứng chỉ, tài liệu quy định tại Điều 10 Nghị định số 107/2016/NĐ-CP của Chính phủ được sửa đổi, bổ sung bởi Nghị định số 154/2018/NĐ-CP của Chính phủ chưa được chứng thực thì phải có bản chính để đối chiếu.
2. Trường hợp hồ sơ được gửi qua bưu điện, tổ chức kiểm định phải gửi bản sao đã được chứng thực các chứng chỉ, tài liệu quy định tại Điều 10 Nghị định số 107/2016/NĐ-CP của Chính phủ được sửa đổi, bổ sung bởi Nghị định số 154/2018/NĐ-CP của Chính phủ.
3. Trường hợp nộp hồ sơ qua Cổng thông tin điện tử của cơ quan tiếp nhận hồ sơ, thực hiện theo hình thức dịch vụ công trực tuyến.</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a) Đơn đăng ký bổ sung, sửa đổi hoạt động kiểm định theo Mẫu số 05 tại Phụ lục ban hành kèm theo Nghị định số 154/2018/NĐ-CP của Chính phủ;</w:t>
            </w:r>
          </w:p>
        </w:tc>
        <w:tc>
          <w:p/>
          <w:p>
            <w:pPr>
              <w:spacing w:after="0" w:before="0" w:lineRule="auto" w:line="276"/>
              <w:jc w:val="left"/>
            </w:pPr>
            <w:r>
              <w:rPr>
                <w:rFonts w:ascii="Times New Roman" w:hAnsi="Times New Roman" w:cs="Times New Roman" w:eastAsia="Times New Roman"/>
                <w:b w:val="false"/>
                <w:sz w:val="26"/>
              </w:rPr>
              <w:t>Mus0558.docx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 Danh sách bổ sung, sửa đổi kiểm định viên theo Mẫu số 02 tại Phụ lục ban hành kèm theo Nghị định số 154/2018/NĐ-CP của Chính phủ và các chứng chỉ, tài liệu liên quan đối với mỗi kiểm định viên gồm: Bản sao Quyết định tuyển dụng hoặc Hợp đồng lao động; bản sao các bằng cấp, chứng chỉ đào tạo tương ứng theo quy định tại khoản 3 Điều 9 Nghị định số 107/2016/NĐ-CP của Chính phủ được sửa đổi, bổ sung bởi Nghị định số 154/2018/NĐ-CP của Chính phủ;</w:t>
            </w:r>
          </w:p>
        </w:tc>
        <w:tc>
          <w:p/>
          <w:p>
            <w:pPr>
              <w:spacing w:after="0" w:before="0" w:lineRule="auto" w:line="276"/>
              <w:jc w:val="left"/>
            </w:pPr>
            <w:r>
              <w:rPr>
                <w:rFonts w:ascii="Times New Roman" w:hAnsi="Times New Roman" w:cs="Times New Roman" w:eastAsia="Times New Roman"/>
                <w:b w:val="false"/>
                <w:sz w:val="26"/>
              </w:rPr>
              <w:t>Mus0258.docx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Các tài liệu chứng minh năng lực hoạt động kiểm định bổ sung, sửa đổi đáp ứng các yêu cầu quy định tại khoản 2 Điều 9 Nghị định số 107/2016/NĐ-CP của Chính phủ được sửa đổi, bổ sung bởi Nghị định số 154/2018/NĐ-CP của Chính phủ, cụ thể như sau: Trường hợp tổ chức kiểm định đã được tổ chức chứng nhận cấp Giấy chứng nhận phù hợp tiêu chuẩn TCVN ISO 9001:2008 hoặc ISO 9001:2008 hoặc đã được tổ chức công nhận quy định tại Điều 21 Nghị định số 107/2016/NĐ-CP của Chính phủ được sửa đổi, bổ sung bởi Nghị định số 154/2018/NĐ-CP của Chính phủ hoặc tổ chức công nhận nước ngoài quy định tại Điều 25 Nghị định số 107/2016/NĐ-CP của Chính phủ được sửa đổi, bổ sung bởi Nghị định số 154/2018/NĐ-CP của Chính phủ công nhận hoạt động kiểm định phù hợp tiêu chuẩn quốc gia, tiêu chuẩn quốc tế đối với lĩnh vực chuyên ngành, tổ chức kiểm định nộp bản sao Giấy chứng nhận phù hợp tiêu chuẩn TCVN ISO 9001:2008 hoặc ISO 9001:2008 hoặc bản sao Chứng chỉ công nhận kèm theo phạm vi được công nhận. Trường hợp tổ chức kiểm định đã được chứng nhận phù hợp tiêu chuẩn TCVN ISO 9001:2008 hoặc ISO 9001:2008 nhưng có phạm vi đăng ký hoạt động rộng hơn phạm vi đã được chứng nhận, tổ chức kiểm định nộp bản sao Giấy chứng nhận phù hợp tiêu chuẩn TCVN ISO 9001:2008 hoặc ISO 9001:2008 và các tài liệu, quy trình kiểm định, các tài liệu khác liên quan để chứng minh năng lực hoạt động phù hợp với các yêu cầu của tiêu chuẩn tương ứng quy định tại khoản 2 Điều 9 Nghị định số 107/2016/NĐ-CP của Chính phủ được sửa đổi, bổ sung bởi Nghị định số 154/2018/NĐ-CP của Chính phủ đối với phạm vi chưa được chứng nhận.” Trường hợp tổ chức kiểm định chưa được công nhận, chưa được chứng nhận phù hợp tiêu chuẩn TCVN ISO 9001:2008 hoặc ISO 9001:2008, tổ chức kiểm định nộp các tài liệu, quy trình kiểm định và các tài liệu khác liên quan để chứng minh năng lực hoạt động phù hợp với các yêu cầu của tiêu chuẩn tương ứng quy định tại khoản 2 Điều 9 Nghị định số 107/2016/NĐ-CP của Chính phủ được sửa đổi, bổ sung bởi Nghị định số 154/2018/NĐ-CP của Chính phủ.</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d) Danh mục bổ sung, sửa đổi các máy móc, thiết bị, dụng cụ phục vụ hoạt động kiểm định đối với lĩnh vực đăng ký theo Mẫu số 04 tại Phụ lục ban hành kèm theo Nghị định số 154/2018/NĐ-CP của Chính phủ.</w:t>
            </w:r>
          </w:p>
        </w:tc>
        <w:tc>
          <w:p/>
          <w:p>
            <w:pPr>
              <w:spacing w:after="0" w:before="0" w:lineRule="auto" w:line="276"/>
              <w:jc w:val="left"/>
            </w:pPr>
            <w:r>
              <w:rPr>
                <w:rFonts w:ascii="Times New Roman" w:hAnsi="Times New Roman" w:cs="Times New Roman" w:eastAsia="Times New Roman"/>
                <w:b w:val="false"/>
                <w:sz w:val="26"/>
              </w:rPr>
              <w:t>Mus0458.docx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chứng nhận đăng ký hoạt động kiểm định (sửa đổi, bổ sung)</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68/2006/QH11</w:t>
            </w:r>
          </w:p>
        </w:tc>
        <w:tc>
          <w:p/>
          <w:p>
            <w:pPr>
              <w:spacing w:after="0" w:before="0" w:lineRule="auto" w:line="276"/>
              <w:jc w:val="left"/>
            </w:pPr>
            <w:r>
              <w:rPr>
                <w:rFonts w:ascii="Times New Roman" w:hAnsi="Times New Roman" w:cs="Times New Roman" w:eastAsia="Times New Roman"/>
                <w:b w:val="false"/>
                <w:sz w:val="26"/>
              </w:rPr>
              <w:t>Luật 68/2006/QH11 - Tiêu chuẩn và quy chuẩn kỹ thuật</w:t>
            </w:r>
          </w:p>
        </w:tc>
        <w:tc>
          <w:p/>
          <w:p>
            <w:pPr>
              <w:spacing w:after="0" w:before="0" w:lineRule="auto" w:line="276"/>
              <w:jc w:val="left"/>
            </w:pPr>
            <w:r>
              <w:rPr>
                <w:rFonts w:ascii="Times New Roman" w:hAnsi="Times New Roman" w:cs="Times New Roman" w:eastAsia="Times New Roman"/>
                <w:b w:val="false"/>
                <w:sz w:val="26"/>
              </w:rPr>
              <w:t>29-06-2006</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05/2007/QH12</w:t>
            </w:r>
          </w:p>
        </w:tc>
        <w:tc>
          <w:p/>
          <w:p>
            <w:pPr>
              <w:spacing w:after="0" w:before="0" w:lineRule="auto" w:line="276"/>
              <w:jc w:val="left"/>
            </w:pPr>
            <w:r>
              <w:rPr>
                <w:rFonts w:ascii="Times New Roman" w:hAnsi="Times New Roman" w:cs="Times New Roman" w:eastAsia="Times New Roman"/>
                <w:b w:val="false"/>
                <w:sz w:val="26"/>
              </w:rPr>
              <w:t>Luật Chất lượng sản phẩm, hàng hoá</w:t>
            </w:r>
          </w:p>
        </w:tc>
        <w:tc>
          <w:p/>
          <w:p>
            <w:pPr>
              <w:spacing w:after="0" w:before="0" w:lineRule="auto" w:line="276"/>
              <w:jc w:val="left"/>
            </w:pPr>
            <w:r>
              <w:rPr>
                <w:rFonts w:ascii="Times New Roman" w:hAnsi="Times New Roman" w:cs="Times New Roman" w:eastAsia="Times New Roman"/>
                <w:b w:val="false"/>
                <w:sz w:val="26"/>
              </w:rPr>
              <w:t>21-11-2007</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Nghị định 107/2016/NĐ-CP</w:t>
            </w:r>
          </w:p>
        </w:tc>
        <w:tc>
          <w:p/>
          <w:p>
            <w:pPr>
              <w:spacing w:after="0" w:before="0" w:lineRule="auto" w:line="276"/>
              <w:jc w:val="left"/>
            </w:pPr>
            <w:r>
              <w:rPr>
                <w:rFonts w:ascii="Times New Roman" w:hAnsi="Times New Roman" w:cs="Times New Roman" w:eastAsia="Times New Roman"/>
                <w:b w:val="false"/>
                <w:sz w:val="26"/>
              </w:rPr>
              <w:t>Thủ tục cấp bổ sung, sửa đổi Giấy chứng nhận đăng ký hoạt động giám định</w:t>
            </w:r>
          </w:p>
        </w:tc>
        <w:tc>
          <w:p/>
          <w:p>
            <w:pPr>
              <w:spacing w:after="0" w:before="0" w:lineRule="auto" w:line="276"/>
              <w:jc w:val="left"/>
            </w:pPr>
            <w:r>
              <w:rPr>
                <w:rFonts w:ascii="Times New Roman" w:hAnsi="Times New Roman" w:cs="Times New Roman" w:eastAsia="Times New Roman"/>
                <w:b w:val="false"/>
                <w:sz w:val="26"/>
              </w:rPr>
              <w:t>01-07-2016</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67/2014/QH13</w:t>
            </w:r>
          </w:p>
        </w:tc>
        <w:tc>
          <w:p/>
          <w:p>
            <w:pPr>
              <w:spacing w:after="0" w:before="0" w:lineRule="auto" w:line="276"/>
              <w:jc w:val="left"/>
            </w:pPr>
            <w:r>
              <w:rPr>
                <w:rFonts w:ascii="Times New Roman" w:hAnsi="Times New Roman" w:cs="Times New Roman" w:eastAsia="Times New Roman"/>
                <w:b w:val="false"/>
                <w:sz w:val="26"/>
              </w:rPr>
              <w:t>Luật 67/2014/QH13 -Đầu tư</w:t>
            </w:r>
          </w:p>
        </w:tc>
        <w:tc>
          <w:p/>
          <w:p>
            <w:pPr>
              <w:spacing w:after="0" w:before="0" w:lineRule="auto" w:line="276"/>
              <w:jc w:val="left"/>
            </w:pPr>
            <w:r>
              <w:rPr>
                <w:rFonts w:ascii="Times New Roman" w:hAnsi="Times New Roman" w:cs="Times New Roman" w:eastAsia="Times New Roman"/>
                <w:b w:val="false"/>
                <w:sz w:val="26"/>
              </w:rPr>
              <w:t>26-11-2014</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nghị định 146/2025</w:t>
            </w:r>
          </w:p>
        </w:tc>
        <w:tc>
          <w:p/>
          <w:p>
            <w:pPr>
              <w:spacing w:after="0" w:before="0" w:lineRule="auto" w:line="276"/>
              <w:jc w:val="left"/>
            </w:pPr>
            <w:r>
              <w:rPr>
                <w:rFonts w:ascii="Times New Roman" w:hAnsi="Times New Roman" w:cs="Times New Roman" w:eastAsia="Times New Roman"/>
                <w:b w:val="false"/>
                <w:sz w:val="26"/>
              </w:rPr>
              <w:t>Nghị định số 146/2025/NĐ-CP</w:t>
            </w:r>
          </w:p>
        </w:tc>
        <w:tc>
          <w:p/>
          <w:p>
            <w:pPr>
              <w:spacing w:after="0" w:before="0" w:lineRule="auto" w:line="276"/>
              <w:jc w:val="left"/>
            </w:pPr>
            <w:r>
              <w:rPr>
                <w:rFonts w:ascii="Times New Roman" w:hAnsi="Times New Roman" w:cs="Times New Roman" w:eastAsia="Times New Roman"/>
                <w:b w:val="false"/>
                <w:sz w:val="26"/>
              </w:rPr>
              <w:t>12-06-2025</w:t>
            </w:r>
          </w:p>
        </w:tc>
        <w:tc>
          <w:p/>
        </w:tc>
      </w:tr>
      <w:tr>
        <w:tc>
          <w:p/>
          <w:p>
            <w:pPr>
              <w:spacing w:after="0" w:before="0" w:lineRule="auto" w:line="276"/>
              <w:jc w:val="left"/>
            </w:pPr>
            <w:r>
              <w:rPr>
                <w:rFonts w:ascii="Times New Roman" w:hAnsi="Times New Roman" w:cs="Times New Roman" w:eastAsia="Times New Roman"/>
                <w:b w:val="false"/>
                <w:sz w:val="26"/>
              </w:rPr>
              <w:t>38/2025/TT-BCT</w:t>
            </w:r>
          </w:p>
        </w:tc>
        <w:tc>
          <w:p/>
          <w:p>
            <w:pPr>
              <w:spacing w:after="0" w:before="0" w:lineRule="auto" w:line="276"/>
              <w:jc w:val="left"/>
            </w:pPr>
            <w:r>
              <w:rPr>
                <w:rFonts w:ascii="Times New Roman" w:hAnsi="Times New Roman" w:cs="Times New Roman" w:eastAsia="Times New Roman"/>
                <w:b w:val="false"/>
                <w:sz w:val="26"/>
              </w:rPr>
              <w:t>Sửa đổi, bổ sung một số quy định về phân cấp thực hiện thủ tục hành chính trong các lĩnh vực thuộc phạm vi quản lý của Bộ Công Thương</w:t>
            </w:r>
          </w:p>
        </w:tc>
        <w:tc>
          <w:p/>
          <w:p>
            <w:pPr>
              <w:spacing w:after="0" w:before="0" w:lineRule="auto" w:line="276"/>
              <w:jc w:val="left"/>
            </w:pPr>
            <w:r>
              <w:rPr>
                <w:rFonts w:ascii="Times New Roman" w:hAnsi="Times New Roman" w:cs="Times New Roman" w:eastAsia="Times New Roman"/>
                <w:b w:val="false"/>
                <w:sz w:val="26"/>
              </w:rPr>
              <w:t>19-06-2025</w:t>
            </w:r>
          </w:p>
        </w:tc>
        <w:tc>
          <w:p/>
          <w:p>
            <w:pPr>
              <w:spacing w:after="0" w:before="0" w:lineRule="auto" w:line="276"/>
              <w:jc w:val="left"/>
            </w:pPr>
            <w:r>
              <w:rPr>
                <w:rFonts w:ascii="Times New Roman" w:hAnsi="Times New Roman" w:cs="Times New Roman" w:eastAsia="Times New Roman"/>
                <w:b w:val="false"/>
                <w:sz w:val="26"/>
              </w:rPr>
              <w:t>Bộ Công thương</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-Giấy chứng nhận đăng ký hoạt động kiểm định đã cấp còn hiệu lực;
Phải có ít nhất 02 kiểm định viên chính thức của tổ chức (viên chức hoặc lao động ký hợp đồng có thời hạn từ 12 tháng trở lên hoặc lao động ký hợp đồng không xác định thời hạn) tương ứng với lĩnh vực kiểm định đăng ký bổ sung, được đào tạo về tiêu chuẩn quốc gia TCVN ISO 9001:2008.</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Tiêu chuẩn đo lường chất lượng</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https://thutuc.dichvucong.gov.vn/p/home/dvc-tthc-thu-tuc-hanh-chinh-chi-tiet.html?ma_thu_tuc=5628</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2025-11-27T08:42:09Z</dcterms:created>
  <dc:creator>Apache POI</dc:creator>
</cp:coreProperties>
</file>