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2.001758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Mã số kinh doanh tạm nhập, tái xuất hàng hóa đã qua sử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cấp Mã số kinh doanh tạm nhập, tái xuất hàng hóa đã qua sử dụng đến cơ quan cấp phép.
- Trường hợp hồ sơ chưa đầy đủ, đúng quy định, trong thời hạn 03 ngày làm việc, kể từ ngày tiếp nhận hồ sơ của doanh nghiệp, cơ quan cấp phép có văn bản yêu cầu doanh nghiệp hoàn thiện hồ sơ.
- Trong thời hạn 07 ngày làm việc, kể từ ngày nhận được hồ sơ đầy đủ, đúng quy định, cơ quan cấp phép xem xét cấp Mã số kinh doanh tạm nhập, tái xuất cho doanh nghiệp. Trường hợp không cấp Mã số kinh doanh tạm nhập, tái xuất, cơ quan cấp phép trả lời bằng văn bản và nêu rõ lý do.
-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Mã số kinh doanh tạm nhập, tái xuất: 01 bản chính;</w:t>
            </w:r>
          </w:p>
        </w:tc>
        <w:tc>
          <w:p/>
          <w:p>
            <w:pPr>
              <w:spacing w:after="0" w:before="0" w:lineRule="auto" w:line="276"/>
              <w:jc w:val="left"/>
            </w:pPr>
            <w:r>
              <w:rPr>
                <w:rFonts w:ascii="Times New Roman" w:hAnsi="Times New Roman" w:cs="Times New Roman" w:eastAsia="Times New Roman"/>
                <w:b w:val="false"/>
                <w:sz w:val="26"/>
              </w:rPr>
              <w:t>Daquasudung.docx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xác nhận về việc doanh nghiệp nộp số tiền ký quỹ theo quy định tại Điều 25 Nghị định số 69/2018/NĐ-CP: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Mã số kinh doanh tạm nhập, tái xuất hàng hóa đã qua sử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kinh doanh tạm nhập, tái xuất hàng hóa đã qua sử dụng phải có số tiền ký quỹ là 7 tỷ đồng Việt Nam nộp tại tổ chức tín dụng trên địa bàn tỉnh, thành phố nơi doanh nghiệp được cấp Giấy chứng nhận đăng ký kinh doanh hoặc Giấy chứng nhận đăng ký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2025-11-27T08:42:29Z</dcterms:created>
  <dc:creator>Apache POI</dc:creator>
</cp:coreProperties>
</file>