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2.002095</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1781/QĐ-BCT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điều chỉnh Giấy phép kinh doanh hóa chất hạn chế sản xuất, kinh doanh trong lĩnh vực công nghiệp</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không được luật giao cho địa phương quy định hoặc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Hóa chất</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Trường hợp có thay đổi về địa điểm cơ sở kinh doanh hóa chất; loại hình, quy mô, chủng loại hóa chất kinh doanh, tổ chức, cá nhân lập 01 bộ hồ sơ đề nghị điều chỉnh Giấy phép và gửi Cục Hóa chất qua đường bưu điện hoặc gửi trực tiếp hoặc qua hệ thống dịch vụ công trực tuyến;
 - Trường hợp hồ sơ chưa đầy đủ và hợp lệ, trong vòng 03 ngày kể từ ngày tiếp nhận hồ sơ, Cục Hóa chất thông báo để tổ chức, cá nhân bổ sung, hoàn chỉnh hồ sơ. Thời gian hoàn chỉnh hồ sơ không được tính vào thời gian cấp phép quy định;
- Trong thời hạn 16 ngày làm việc, kể từ ngày nhận đủ hồ sơ hợp lệ, Cục Hóa chất có trách nhiệm xem xét, thẩm định hồ sơ, kiểm tra điều kiện thực tế và cấp điều chỉnh Giấy phép cho tổ chức, cá nhân. Trường hợp không cấp Giấy phép, cơ quan có thẩm quyền cấp phép phải có văn bản trả lời, nêu rõ lý do.
- Trường hợp không cấp điều chỉnh Giấy phép, Cục Hóa chất phải có văn bản trả lời và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16 Ngày làm việc</w:t>
            </w:r>
          </w:p>
        </w:tc>
        <w:tc>
          <w:p/>
          <w:p>
            <w:pPr>
              <w:spacing w:after="0" w:before="0" w:lineRule="auto" w:line="276"/>
              <w:jc w:val="left"/>
            </w:pPr>
            <w:r>
              <w:rPr>
                <w:rFonts w:ascii="Times New Roman" w:hAnsi="Times New Roman" w:cs="Times New Roman" w:eastAsia="Times New Roman"/>
                <w:b w:val="false"/>
                <w:sz w:val="26"/>
              </w:rPr>
              <w:t xml:space="preserve">Phí :  </w:t>
              <w:t xml:space="preserve"> (Quy định tại Thông tư số 08/2018/TT-BTC của Bộ Tài chính Quy định mức thu, chế độ thu, nộp, quản lý và sử dụng phí trong hoạt động hóa chất.)</w:t>
            </w:r>
          </w:p>
        </w:tc>
        <w:tc>
          <w:p/>
          <w:p>
            <w:pPr>
              <w:spacing w:after="0" w:before="0" w:lineRule="auto" w:line="276"/>
              <w:jc w:val="left"/>
            </w:pPr>
            <w:r>
              <w:rPr>
                <w:rFonts w:ascii="Times New Roman" w:hAnsi="Times New Roman" w:cs="Times New Roman" w:eastAsia="Times New Roman"/>
                <w:b w:val="false"/>
                <w:sz w:val="26"/>
              </w:rPr>
              <w:t>16  ngày làm việc kể từ ngày nhận đủ hồ sơ hợp lệ.</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16 Ngày làm việc</w:t>
            </w:r>
          </w:p>
        </w:tc>
        <w:tc>
          <w:p/>
          <w:p>
            <w:pPr>
              <w:spacing w:after="0" w:before="0" w:lineRule="auto" w:line="276"/>
              <w:jc w:val="left"/>
            </w:pPr>
            <w:r>
              <w:rPr>
                <w:rFonts w:ascii="Times New Roman" w:hAnsi="Times New Roman" w:cs="Times New Roman" w:eastAsia="Times New Roman"/>
                <w:b w:val="false"/>
                <w:sz w:val="26"/>
              </w:rPr>
              <w:t xml:space="preserve">Phí :  </w:t>
              <w:t xml:space="preserve"> (Quy định tại Thông tư số 08/2018/TT-BTC của Bộ Tài chính Quy định mức thu, chế độ thu, nộp, quản lý và sử dụng phí trong hoạt động hóa chất.)</w:t>
            </w:r>
          </w:p>
        </w:tc>
        <w:tc>
          <w:p/>
          <w:p>
            <w:pPr>
              <w:spacing w:after="0" w:before="0" w:lineRule="auto" w:line="276"/>
              <w:jc w:val="left"/>
            </w:pPr>
            <w:r>
              <w:rPr>
                <w:rFonts w:ascii="Times New Roman" w:hAnsi="Times New Roman" w:cs="Times New Roman" w:eastAsia="Times New Roman"/>
                <w:b w:val="false"/>
                <w:sz w:val="26"/>
              </w:rPr>
              <w:t>16  ngày làm việc kể từ ngày nhận đủ hồ sơ hợp lệ.</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16 Ngày làm việc</w:t>
            </w:r>
          </w:p>
        </w:tc>
        <w:tc>
          <w:p/>
          <w:p>
            <w:pPr>
              <w:spacing w:after="0" w:before="0" w:lineRule="auto" w:line="276"/>
              <w:jc w:val="left"/>
            </w:pPr>
            <w:r>
              <w:rPr>
                <w:rFonts w:ascii="Times New Roman" w:hAnsi="Times New Roman" w:cs="Times New Roman" w:eastAsia="Times New Roman"/>
                <w:b w:val="false"/>
                <w:sz w:val="26"/>
              </w:rPr>
              <w:t xml:space="preserve">Phí :  </w:t>
              <w:t xml:space="preserve"> (Quy định tại Thông tư số 08/2018/TT-BTC của Bộ Tài chính Quy định mức thu, chế độ thu, nộp, quản lý và sử dụng phí trong hoạt động hóa chất.)</w:t>
            </w:r>
          </w:p>
        </w:tc>
        <w:tc>
          <w:p/>
          <w:p>
            <w:pPr>
              <w:spacing w:after="0" w:before="0" w:lineRule="auto" w:line="276"/>
              <w:jc w:val="left"/>
            </w:pPr>
            <w:r>
              <w:rPr>
                <w:rFonts w:ascii="Times New Roman" w:hAnsi="Times New Roman" w:cs="Times New Roman" w:eastAsia="Times New Roman"/>
                <w:b w:val="false"/>
                <w:sz w:val="26"/>
              </w:rPr>
              <w:t>16  ngày làm việc kể từ ngày nhận đủ hồ sơ hợp lệ.</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-Bản chính Giấy phép đã được cấp;</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Giấy tờ, tài liệu chứng minh việc đáp ứng được điều kiện sản xuất, kinh doanh đối với các nội dung điều chỉnh;</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Văn bản đề nghị cấp điều chỉnh Giấy phép kinh doanh hóa chất hạn chế sản xuất, kinh doanh trong lĩnh vực công nghiệp theo mẫu 01e quy định tại Phụ lục VI ban hành kèm theo Nghị định 82/2022/NĐ-CP.</w:t>
            </w:r>
          </w:p>
        </w:tc>
        <w:tc>
          <w:p/>
          <w:p>
            <w:pPr>
              <w:spacing w:after="0" w:before="0" w:lineRule="auto" w:line="276"/>
              <w:jc w:val="left"/>
            </w:pPr>
            <w:r>
              <w:rPr>
                <w:rFonts w:ascii="Times New Roman" w:hAnsi="Times New Roman" w:cs="Times New Roman" w:eastAsia="Times New Roman"/>
                <w:b w:val="false"/>
                <w:sz w:val="26"/>
              </w:rPr>
              <w:t>Mẫu 1e.docx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Cục Hóa chất</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phép sản xuất/kinh doanh hóa chất hạn chế sản xuất, kinh doanh trong lĩnh vực công nghiệp</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06/2007/QH12</w:t>
            </w:r>
          </w:p>
        </w:tc>
        <w:tc>
          <w:p/>
          <w:p>
            <w:pPr>
              <w:spacing w:after="0" w:before="0" w:lineRule="auto" w:line="276"/>
              <w:jc w:val="left"/>
            </w:pPr>
            <w:r>
              <w:rPr>
                <w:rFonts w:ascii="Times New Roman" w:hAnsi="Times New Roman" w:cs="Times New Roman" w:eastAsia="Times New Roman"/>
                <w:b w:val="false"/>
                <w:sz w:val="26"/>
              </w:rPr>
              <w:t>Luật 06/2007/QH12 - Hóa chất</w:t>
            </w:r>
          </w:p>
        </w:tc>
        <w:tc>
          <w:p/>
          <w:p>
            <w:pPr>
              <w:spacing w:after="0" w:before="0" w:lineRule="auto" w:line="276"/>
              <w:jc w:val="left"/>
            </w:pPr>
            <w:r>
              <w:rPr>
                <w:rFonts w:ascii="Times New Roman" w:hAnsi="Times New Roman" w:cs="Times New Roman" w:eastAsia="Times New Roman"/>
                <w:b w:val="false"/>
                <w:sz w:val="26"/>
              </w:rPr>
              <w:t>21-11-2007</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113/2017/NĐ-CP</w:t>
            </w:r>
          </w:p>
        </w:tc>
        <w:tc>
          <w:p/>
          <w:p>
            <w:pPr>
              <w:spacing w:after="0" w:before="0" w:lineRule="auto" w:line="276"/>
              <w:jc w:val="left"/>
            </w:pPr>
            <w:r>
              <w:rPr>
                <w:rFonts w:ascii="Times New Roman" w:hAnsi="Times New Roman" w:cs="Times New Roman" w:eastAsia="Times New Roman"/>
                <w:b w:val="false"/>
                <w:sz w:val="26"/>
              </w:rPr>
              <w:t>Nghị định 113/2017/NĐ-CP</w:t>
            </w:r>
          </w:p>
        </w:tc>
        <w:tc>
          <w:p/>
          <w:p>
            <w:pPr>
              <w:spacing w:after="0" w:before="0" w:lineRule="auto" w:line="276"/>
              <w:jc w:val="left"/>
            </w:pPr>
            <w:r>
              <w:rPr>
                <w:rFonts w:ascii="Times New Roman" w:hAnsi="Times New Roman" w:cs="Times New Roman" w:eastAsia="Times New Roman"/>
                <w:b w:val="false"/>
                <w:sz w:val="26"/>
              </w:rPr>
              <w:t>09-10-2017</w:t>
            </w:r>
          </w:p>
        </w:tc>
        <w:tc>
          <w:p/>
          <w:p>
            <w:pPr>
              <w:spacing w:after="0" w:before="0" w:lineRule="auto" w:line="276"/>
              <w:jc w:val="left"/>
            </w:pPr>
            <w:r>
              <w:rPr>
                <w:rFonts w:ascii="Times New Roman" w:hAnsi="Times New Roman" w:cs="Times New Roman" w:eastAsia="Times New Roman"/>
                <w:b w:val="false"/>
                <w:sz w:val="26"/>
              </w:rPr>
              <w:t>Bộ Công thương</w:t>
            </w:r>
          </w:p>
        </w:tc>
      </w:tr>
      <w:tr>
        <w:tc>
          <w:p/>
          <w:p>
            <w:pPr>
              <w:spacing w:after="0" w:before="0" w:lineRule="auto" w:line="276"/>
              <w:jc w:val="left"/>
            </w:pPr>
            <w:r>
              <w:rPr>
                <w:rFonts w:ascii="Times New Roman" w:hAnsi="Times New Roman" w:cs="Times New Roman" w:eastAsia="Times New Roman"/>
                <w:b w:val="false"/>
                <w:sz w:val="26"/>
              </w:rPr>
              <w:t>17/2020/NĐ-CP</w:t>
            </w:r>
          </w:p>
        </w:tc>
        <w:tc>
          <w:p/>
          <w:p>
            <w:pPr>
              <w:spacing w:after="0" w:before="0" w:lineRule="auto" w:line="276"/>
              <w:jc w:val="left"/>
            </w:pPr>
            <w:r>
              <w:rPr>
                <w:rFonts w:ascii="Times New Roman" w:hAnsi="Times New Roman" w:cs="Times New Roman" w:eastAsia="Times New Roman"/>
                <w:b w:val="false"/>
                <w:sz w:val="26"/>
              </w:rPr>
              <w:t>Nghị định 17/2020/NĐ-CP</w:t>
            </w:r>
          </w:p>
        </w:tc>
        <w:tc>
          <w:p/>
          <w:p>
            <w:pPr>
              <w:spacing w:after="0" w:before="0" w:lineRule="auto" w:line="276"/>
              <w:jc w:val="left"/>
            </w:pPr>
            <w:r>
              <w:rPr>
                <w:rFonts w:ascii="Times New Roman" w:hAnsi="Times New Roman" w:cs="Times New Roman" w:eastAsia="Times New Roman"/>
                <w:b w:val="false"/>
                <w:sz w:val="26"/>
              </w:rPr>
              <w:t>05-02-2020</w:t>
            </w:r>
          </w:p>
        </w:tc>
        <w:tc>
          <w:p/>
        </w:tc>
      </w:tr>
      <w:tr>
        <w:tc>
          <w:p/>
          <w:p>
            <w:pPr>
              <w:spacing w:after="0" w:before="0" w:lineRule="auto" w:line="276"/>
              <w:jc w:val="left"/>
            </w:pPr>
            <w:r>
              <w:rPr>
                <w:rFonts w:ascii="Times New Roman" w:hAnsi="Times New Roman" w:cs="Times New Roman" w:eastAsia="Times New Roman"/>
                <w:b w:val="false"/>
                <w:sz w:val="26"/>
              </w:rPr>
              <w:t>82/2022/NĐ-CP</w:t>
            </w:r>
          </w:p>
        </w:tc>
        <w:tc>
          <w:p/>
          <w:p>
            <w:pPr>
              <w:spacing w:after="0" w:before="0" w:lineRule="auto" w:line="276"/>
              <w:jc w:val="left"/>
            </w:pPr>
            <w:r>
              <w:rPr>
                <w:rFonts w:ascii="Times New Roman" w:hAnsi="Times New Roman" w:cs="Times New Roman" w:eastAsia="Times New Roman"/>
                <w:b w:val="false"/>
                <w:sz w:val="26"/>
              </w:rPr>
              <w:t>NGHỊ ĐỊNH  SỬA ĐỔI, BỔ SUNG MỘT SỐ ĐIỀU CỦA NGHỊ ĐỊNH SỐ 113/2017/NĐ-CP NGÀY 09 THÁNG 10 NĂM 2017 CỦA CHÍNH PHỦ QUY ĐỊNH CHI TIẾT VÀ HƯỚNG DẪN THI HÀNH MỘT SỐ ĐIỀU CỦA LUẬT HÓA CHẤT</w:t>
            </w:r>
          </w:p>
        </w:tc>
        <w:tc>
          <w:p/>
          <w:p>
            <w:pPr>
              <w:spacing w:after="0" w:before="0" w:lineRule="auto" w:line="276"/>
              <w:jc w:val="left"/>
            </w:pPr>
            <w:r>
              <w:rPr>
                <w:rFonts w:ascii="Times New Roman" w:hAnsi="Times New Roman" w:cs="Times New Roman" w:eastAsia="Times New Roman"/>
                <w:b w:val="false"/>
                <w:sz w:val="26"/>
              </w:rPr>
              <w:t>18-10-2022</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38/2025/TT-BCT</w:t>
            </w:r>
          </w:p>
        </w:tc>
        <w:tc>
          <w:p/>
          <w:p>
            <w:pPr>
              <w:spacing w:after="0" w:before="0" w:lineRule="auto" w:line="276"/>
              <w:jc w:val="left"/>
            </w:pPr>
            <w:r>
              <w:rPr>
                <w:rFonts w:ascii="Times New Roman" w:hAnsi="Times New Roman" w:cs="Times New Roman" w:eastAsia="Times New Roman"/>
                <w:b w:val="false"/>
                <w:sz w:val="26"/>
              </w:rPr>
              <w:t>Sửa đổi, bổ sung một số quy định về phân cấp thực hiện thủ tục hành chính trong các lĩnh vực thuộc phạm vi quản lý của Bộ Công Thương</w:t>
            </w:r>
          </w:p>
        </w:tc>
        <w:tc>
          <w:p/>
          <w:p>
            <w:pPr>
              <w:spacing w:after="0" w:before="0" w:lineRule="auto" w:line="276"/>
              <w:jc w:val="left"/>
            </w:pPr>
            <w:r>
              <w:rPr>
                <w:rFonts w:ascii="Times New Roman" w:hAnsi="Times New Roman" w:cs="Times New Roman" w:eastAsia="Times New Roman"/>
                <w:b w:val="false"/>
                <w:sz w:val="26"/>
              </w:rPr>
              <w:t>19-06-2025</w:t>
            </w:r>
          </w:p>
        </w:tc>
        <w:tc>
          <w:p/>
          <w:p>
            <w:pPr>
              <w:spacing w:after="0" w:before="0" w:lineRule="auto" w:line="276"/>
              <w:jc w:val="left"/>
            </w:pPr>
            <w:r>
              <w:rPr>
                <w:rFonts w:ascii="Times New Roman" w:hAnsi="Times New Roman" w:cs="Times New Roman" w:eastAsia="Times New Roman"/>
                <w:b w:val="false"/>
                <w:sz w:val="26"/>
              </w:rPr>
              <w:t>Bộ Công thương</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*Điều kiện chung:
- Điều kiện kinh doanh:
+ Là tổ chức, cá nhân được thành lập theo quy định của pháp luật;;
+ Cơ sở vật chất – kỹ thuật phải đáp ứng yêu cầu trong kinh doanh theo quy định tại Điều 12 của Luật hóa chất; Điều 4; khoản 2 Điều 5; khoản 1, khoản 2 Điều 6 của Nghị định 113/2017/NĐ-CP; 
+ Có cửa hàng hoặc địa điểm kinh doanh, nơi bày bán phải đảm bảo các yêu cầu về an toàn hóa chất, an toàn phòng, chống cháy nổ theo quy định của pháp luật; 
+ Có kho chứa hoặc có hợp đồng thuê kho chứa hóa chất hoặc sử dụng kho của tổ chức, cá nhân mua hoặc bán hóa chất đáp ứng được các điều kiện về bảo quản an toàn hóa chất, an toàn phòng, chống cháy nổ;
+ Người phụ trách về an toàn hóa chất của cơ sở kinh doanh hóa chất phải có trình độ trung cấp trở lên về chuyên ngành hóa chất.
+ Các đối tượng quy định phải được huấn luyện an toàn hóa chất.
+ Hóa chất hạn chế sản xuất, kinh doanh trong lĩnh vực công nghiệp phải được tồn trữ, bảo quản ở một khu vực riêng trong kho hoặc kho riêng.
*Điều kiện riêng:
Trường hợp có thay đổi về địa điểm cơ sở kinh doanh hóa chất; loại hình, quy mô, chủng loại hóa chất sản xuất, kinh doanh</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Hóa chất</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https://thutuc.dichvucong.gov.vn/p/home/dvc-tthc-thu-tuc-hanh-chinh-chi-tiet.html?ma_thu_tuc=7325</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2025-11-27T08:42:39Z</dcterms:created>
  <dc:creator>Apache POI</dc:creator>
</cp:coreProperties>
</file>