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cấp đăng ký pháp nhân phi thương mại cho tổ chức tôn giáo trực thuộc có địa bàn hoạt động ở nhiều tỉnh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Bước 1: Tổ chức tôn giáo đề nghị cấp đăng ký pháp nhân phi thương mại cho tổ chức tôn giáo trực thuộc có địa bàn hoạt động ở nhiều tỉnh có trách nhiệm gửi hồ sơ đề nghị đến Ban Tôn giáo Chính phủ.</w:t>
      </w:r>
    </w:p>
    <w:p>
      <w:pPr>
        <w:spacing w:after="0" w:before="0" w:lineRule="auto" w:line="276"/>
        <w:jc w:val="both"/>
      </w:pPr>
      <w:r>
        <w:rPr>
          <w:rFonts w:ascii="Times New Roman" w:hAnsi="Times New Roman" w:cs="Times New Roman" w:eastAsia="Times New Roman"/>
          <w:b w:val="false"/>
          <w:sz w:val="26"/>
        </w:rPr>
        <w:t>- Bước 2: Ban Tôn giáo Chính phủ xem xét hồ sơ đề nghị, trường hợp hồ sơ chưa đầy đủ, hợp lệ, Ban Tôn giáo Chính phủ hướng dẫn trực tiếp hoặc thông báo qua thư điện tử, tin nhắn điện thoại hoặc văn bản cho tổ chức tôn giáo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 Bước 3:
+ Ban Tôn giáo Chính phủ phối hợp với các cơ quan liên quan thẩm định hồ sơ trình Bộ Dân tộc và Tôn giáo.
+ Bộ Dân tộc và Tôn giáo căn cứ Tờ trình của Ban Tôn giáo Chính phủ cấp hoặc không cấp đăng ký pháp nhân phi thương mại cho tổ chức tôn giáo trực thuộc có địa bàn hoạt động ở nhiều tỉnh và gửi kết quả giải quyết về Bộ phận Tiếp nhận và trả kết quả của Ban Tôn giáo Chính phủ để trả cho tổ chức. Trường hợp không cấp đăng ký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Ban Tôn giáo Chính phủ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tóm tắt quá trình hoạt động tôn giáo của tổ chức tôn giáo trực thuộc từ khi được thành lập, chia, tách, sáp nhập, hợp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Bản kê khai và giấy tờ chứng minh tài sản hợp pháp của tổ chức tôn giáo trực thuộc;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Hiến chương, điều lệ hoặc các văn bản có nội dung tương tự của tổ chức tôn giáo trực thuộc.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sách, sơ yếu lý lịch, bản tóm tắt quá trình hoạt động tôn giáo của người đại diện và những người lãnh đạo của tổ chức tôn giáo trực thuộc;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nghị cấp đăng ký pháp nhân phi thương mại cho tổ chức tôn giáo trực thuộc (Mẫu B15, Phụ lục ban hành kèm theo Nghị định số 95/2023/NĐ-CP ngày 29/12/2023 của Chính phủ, được sửa đổi bổ sung tại Phụ lục II, Nghị định số 124/2025/NĐ-CP ngày 11/6/2025 của Chính phủ).</w:t>
            </w:r>
          </w:p>
        </w:tc>
        <w:tc>
          <w:p/>
          <w:p>
            <w:pPr>
              <w:spacing w:after="0" w:before="0" w:lineRule="auto" w:line="276"/>
              <w:jc w:val="left"/>
            </w:pPr>
            <w:r>
              <w:rPr>
                <w:rFonts w:ascii="Times New Roman" w:hAnsi="Times New Roman" w:cs="Times New Roman" w:eastAsia="Times New Roman"/>
                <w:b w:val="false"/>
                <w:sz w:val="26"/>
              </w:rPr>
              <w:t>MuB15.docx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về việc cấp đăng ký pháp nhân phi thương mại cho tổ chức tôn giáo trực thuộc (Mẫu A3, Phụ lục ban hành kèm theo Nghị định số 95/2023/NĐ-CP ngày 29/12/2023 của Chính phủ, được sửa đổi bổ sung tại Phụ lục II, Nghị định số 124/2025/NĐ-CP ngày 11/6/2025 của Chính phủ).</w:t>
            </w:r>
          </w:p>
        </w:tc>
        <w:tc>
          <w:p/>
          <w:p>
            <w:pPr>
              <w:spacing w:after="0" w:before="0" w:lineRule="auto" w:line="276"/>
              <w:jc w:val="left"/>
            </w:pPr>
            <w:r>
              <w:rPr>
                <w:rFonts w:ascii="Times New Roman" w:hAnsi="Times New Roman" w:cs="Times New Roman" w:eastAsia="Times New Roman"/>
                <w:b w:val="false"/>
                <w:sz w:val="26"/>
              </w:rPr>
              <w:t>MuA3.docx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 Ban Tôn giáo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cấp đăng ký pháp nhân phi thương mại cho tổ chức tôn giáo trực thuộc có địa bàn hoạt động ở  nhiều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tôn giáo trực thuộc có địa bàn hoạt động ở nhiều tỉnh để được tổ chức tôn giáo để nghị cấp đăng ký pháp nhân phi thương mại phải đáp ứng các điều kiện sau đây:
- Có cơ cấu tổ chức theo hiến chương;
- Có tài sản độc lập với cá nhân, tổ chức khác và tự chịu trách nhiệm bằng tài sản của mình;
- Nhân danh tổ chức tham gia quan hệ pháp luật một cách độc lập.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https://thutuc.dichvucong.gov.vn/p/home/dvc-tthc-thu-tuc-hanh-chinh-chi-tiet.html?ma_thu_tuc=342662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2025-11-27T08:54:57Z</dcterms:created>
  <dc:creator>Apache POI</dc:creator>
</cp:coreProperties>
</file>