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tự giải thể của tổ chức tôn giáo có địa bàn hoạt động ở nhiều tỉnh theo quy định của hiến chương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Tổ chức tôn giáo có địa bàn hoạt động ở nhiều tỉnh tự giải thể theo quy định của hiến chương có trách nhiệm gửi hồ sơ đề nghị đến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cho tổ chức tôn giáo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tự giải thể theo quy định của hiến chương của tổ chức tôn giáo và gửi kết quả giải quyết về Bộ phận Tiếp nhận và trả kết quả của Ban Tôn giáo Chính phủ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khai tài sản,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thức xử lý tài sản, tài chính và thời hạn thanh toán các khoản nợ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tổ chức tôn giáo trực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về việc chấp thuận cho tổ chức tôn giáo hoặc tổ chức tôn giáo trực thuộc giải thể theo quy định của hiến chương của tổ chức tôn giáo (Mẫu A6, Phụ lục ban hành kèm theo Nghị định số 95/2023/NĐ-CP ngày 29/12/2023 của Chính phủ, được sửa đổi bổ sung tại Phụ lục II, Nghị định số 124/2025/NĐ-CP ngày 11/6/2025 của Chính phủ).</w:t>
            </w:r>
          </w:p>
        </w:tc>
        <w:tc>
          <w:p/>
          <w:p>
            <w:pPr>
              <w:spacing w:after="0" w:before="0" w:lineRule="auto" w:line="276"/>
              <w:jc w:val="left"/>
            </w:pPr>
            <w:r>
              <w:rPr>
                <w:rFonts w:ascii="Times New Roman" w:hAnsi="Times New Roman" w:cs="Times New Roman" w:eastAsia="Times New Roman"/>
                <w:b w:val="false"/>
                <w:sz w:val="26"/>
              </w:rPr>
              <w:t>MuA6.docx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tự giải thể tổ chức tôn giáo theo quy định của hiến chương của  tổ chức.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tôn giáo có địa bàn hoạt động ở nhiều tỉnh tự giải thể theo quy định của hiến chương có trách nhiệm đăng thông báo thời hạn thanh toán các khoản nợ (nếu có) cho các tổ chức, cá nhân có liên quan theo quy định của pháp luật trên 05 (năm) số liên tiếp của báo in ra hàng ngày hoặc 05 ngày liên tiếp trên báo điện tử ở trung ương.
- Thời điểm Bộ Dân tộc và Tôn giáo chấp thuận cho tổ chức tôn giáo giải thể là thời điểm tổ chức phải nộp lại bản chính quyết định công nhận tổ chức tôn giáo; giấy chứng nhận của cơ quan công an về việc tổ chức đã nộp, hủy con dấu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2025-11-27T08:55:29Z</dcterms:created>
  <dc:creator>Apache POI</dc:creator>
</cp:coreProperties>
</file>