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1.012578</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364/QĐ-BDTTG</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Thủ tục đề nghị giải thể cơ sở đào tạo tôn giáo theo quyết định của tổ chức tôn giáo (Cấp Trung ương)</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Bộ</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được luật giao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Tín ngưỡng, tôn giáo</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 Bước 1: Tổ chức tôn giáo giải thể cơ sở đào tạo tôn giáo theo quyết định của tổ chức có trách nhiệm gửi hồ sơ đề nghị đến Ban Tôn giáo Chính phủ.</w:t>
      </w:r>
    </w:p>
    <w:p>
      <w:pPr>
        <w:spacing w:after="0" w:before="0" w:lineRule="auto" w:line="276"/>
        <w:jc w:val="both"/>
      </w:pPr>
      <w:r>
        <w:rPr>
          <w:rFonts w:ascii="Times New Roman" w:hAnsi="Times New Roman" w:cs="Times New Roman" w:eastAsia="Times New Roman"/>
          <w:b w:val="false"/>
          <w:sz w:val="26"/>
        </w:rPr>
        <w:t>- Bước 2: Ban Tôn giáo Chính phủ xem xét hồ sơ đề nghị, trường hợp hồ sơ chưa đầy đủ, hợp lệ, Ban Tôn giáo Chính phủ hướng dẫn trực tiếp hoặc thông báo qua thư điện tử, tin nhắn điện thoại hoặc văn bản cho tổ chức tôn giáo để bổ sung, hoàn thiện hồ sơ. Trường hợp từ chối tiếp nhận, giải quyết hồ sơ phải nêu rõ lý do. Thời gian hoàn thiện hồ sơ không tính vào thời hạn giải quyết.</w:t>
      </w:r>
    </w:p>
    <w:p>
      <w:pPr>
        <w:spacing w:after="0" w:before="0" w:lineRule="auto" w:line="276"/>
        <w:jc w:val="both"/>
      </w:pPr>
      <w:r>
        <w:rPr>
          <w:rFonts w:ascii="Times New Roman" w:hAnsi="Times New Roman" w:cs="Times New Roman" w:eastAsia="Times New Roman"/>
          <w:b w:val="false"/>
          <w:sz w:val="26"/>
        </w:rPr>
        <w:t>- Bước 3:
+ Ban Tôn giáo Chính phủ phối hợp với các cơ quan liên quan thẩm định hồ sơ trình Bộ Dân tộc và Tôn giáo.
+ Bộ Dân tộc và Tôn giáo căn cứ Tờ trình của Ban Tôn giáo Chính phủ chấp thuận hoặc không chấp thuận về việc giải thể cơ sở đào tạo tôn giáo trực thuộc theo quyết định của tổ chức tôn giáo và gửi kết quả giải quyết về Bộ phận Tiếp nhận và trả kết quả của Ban Tôn giáo Chính phủ để trả cho tổ chức. Trường hợp không chấp thuận phải trả lời bằng văn bản và nêu rõ lý do.</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45 Ngày làm việc</w:t>
            </w:r>
          </w:p>
        </w:tc>
        <w:tc>
          <w:p/>
          <w:p>
            <w:pPr>
              <w:spacing w:after="0" w:before="0" w:lineRule="auto" w:line="276"/>
              <w:jc w:val="left"/>
            </w:pPr>
            <w:r>
              <w:rPr>
                <w:rFonts w:ascii="Times New Roman" w:hAnsi="Times New Roman" w:cs="Times New Roman" w:eastAsia="Times New Roman"/>
                <w:b w:val="false"/>
                <w:sz w:val="26"/>
              </w:rPr>
              <w:t>Phí : 0 Đồng</w:t>
            </w:r>
          </w:p>
        </w:tc>
        <w:tc>
          <w:p/>
          <w:p>
            <w:pPr>
              <w:spacing w:after="0" w:before="0" w:lineRule="auto" w:line="276"/>
              <w:jc w:val="left"/>
            </w:pPr>
            <w:r>
              <w:rPr>
                <w:rFonts w:ascii="Times New Roman" w:hAnsi="Times New Roman" w:cs="Times New Roman" w:eastAsia="Times New Roman"/>
                <w:b w:val="false"/>
                <w:sz w:val="26"/>
              </w:rPr>
              <w:t>Nộp hồ sơ trực tiếp tại Bộ phận Tiếp nhận và trả kết quả của Ban Tôn giáo Chính phủ.
Ban Tôn giáo Chính phủ tiếp nhận hồ sơ đề nghị, có Giấy tiếp nhận hồ sơ và hẹn ngày trả kết quả.</w:t>
            </w:r>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45 Ngày làm việc</w:t>
            </w:r>
          </w:p>
        </w:tc>
        <w:tc>
          <w:p/>
          <w:p>
            <w:pPr>
              <w:spacing w:after="0" w:before="0" w:lineRule="auto" w:line="276"/>
              <w:jc w:val="left"/>
            </w:pPr>
            <w:r>
              <w:rPr>
                <w:rFonts w:ascii="Times New Roman" w:hAnsi="Times New Roman" w:cs="Times New Roman" w:eastAsia="Times New Roman"/>
                <w:b w:val="false"/>
                <w:sz w:val="26"/>
              </w:rPr>
              <w:t>Phí : 0 Đồng</w:t>
            </w:r>
          </w:p>
        </w:tc>
        <w:tc>
          <w:p/>
          <w:p>
            <w:pPr>
              <w:spacing w:after="0" w:before="0" w:lineRule="auto" w:line="276"/>
              <w:jc w:val="left"/>
            </w:pPr>
            <w:r>
              <w:rPr>
                <w:rFonts w:ascii="Times New Roman" w:hAnsi="Times New Roman" w:cs="Times New Roman" w:eastAsia="Times New Roman"/>
                <w:b w:val="false"/>
                <w:sz w:val="26"/>
              </w:rPr>
              <w:t>Nộp hồ sơ qua Cổng dịch vụ công trực tuyến.</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45 Ngày làm việc</w:t>
            </w:r>
          </w:p>
        </w:tc>
        <w:tc>
          <w:p/>
          <w:p>
            <w:pPr>
              <w:spacing w:after="0" w:before="0" w:lineRule="auto" w:line="276"/>
              <w:jc w:val="left"/>
            </w:pPr>
            <w:r>
              <w:rPr>
                <w:rFonts w:ascii="Times New Roman" w:hAnsi="Times New Roman" w:cs="Times New Roman" w:eastAsia="Times New Roman"/>
                <w:b w:val="false"/>
                <w:sz w:val="26"/>
              </w:rPr>
              <w:t>Phí : 0 Đồng</w:t>
            </w:r>
          </w:p>
        </w:tc>
        <w:tc>
          <w:p/>
          <w:p>
            <w:pPr>
              <w:spacing w:after="0" w:before="0" w:lineRule="auto" w:line="276"/>
              <w:jc w:val="left"/>
            </w:pPr>
            <w:r>
              <w:rPr>
                <w:rFonts w:ascii="Times New Roman" w:hAnsi="Times New Roman" w:cs="Times New Roman" w:eastAsia="Times New Roman"/>
                <w:b w:val="false"/>
                <w:sz w:val="26"/>
              </w:rPr>
              <w:t>Nộp hồ sơ qua dịch vụ bưu chính công ích; qua thuê dịch vụ của doanh nghiệp, cá nhân hoặc ủy quyền theo quy định của pháp luật 
Ngày tiếp nhận hồ sơ được tính theo ngày ghi trên dấu công văn đến.</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 Văn bản đề nghị (theo mẫu);.....</w:t>
            </w:r>
          </w:p>
        </w:tc>
        <w:tc>
          <w:p/>
          <w:p>
            <w:pPr>
              <w:spacing w:after="0" w:before="0" w:lineRule="auto" w:line="276"/>
              <w:jc w:val="left"/>
            </w:pPr>
            <w:r>
              <w:rPr>
                <w:rFonts w:ascii="Times New Roman" w:hAnsi="Times New Roman" w:cs="Times New Roman" w:eastAsia="Times New Roman"/>
                <w:b w:val="false"/>
                <w:sz w:val="26"/>
              </w:rPr>
              <w:t>Mẫu B28.docx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Bản kê khai tài sản, tài chính;..</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Phương thức xử lý tài sản, tài chính và thời hạn thanh toán các khoản nợ (nếu có); phương thức giải quyết quyền lợi của học viên và những người có liên quan.</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Tổ chức (không bao gồm doanh nghiệp, HTX)</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Bộ Dân tộc và Tôn giáo, Ban Tôn giáo Chính phủ</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Bộ Dân tộc và Tôn giáo</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Văn bản trả lời về việc giải thể cơ sở đào tạo tôn giáo theo quyết định của tổ chức  tôn giáo., Quyết định về việc giải thể cơ sở đào tạo tôn giáo</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02/2016/QH14</w:t>
            </w:r>
          </w:p>
        </w:tc>
        <w:tc>
          <w:p/>
          <w:p>
            <w:pPr>
              <w:spacing w:after="0" w:before="0" w:lineRule="auto" w:line="276"/>
              <w:jc w:val="left"/>
            </w:pPr>
            <w:r>
              <w:rPr>
                <w:rFonts w:ascii="Times New Roman" w:hAnsi="Times New Roman" w:cs="Times New Roman" w:eastAsia="Times New Roman"/>
                <w:b w:val="false"/>
                <w:sz w:val="26"/>
              </w:rPr>
              <w:t>Luật tín ngưỡng, tôn giáo (Luật số 02/2016/QH14 ngày 18/11/2016).</w:t>
            </w:r>
          </w:p>
        </w:tc>
        <w:tc>
          <w:p/>
          <w:p>
            <w:pPr>
              <w:spacing w:after="0" w:before="0" w:lineRule="auto" w:line="276"/>
              <w:jc w:val="left"/>
            </w:pPr>
            <w:r>
              <w:rPr>
                <w:rFonts w:ascii="Times New Roman" w:hAnsi="Times New Roman" w:cs="Times New Roman" w:eastAsia="Times New Roman"/>
                <w:b w:val="false"/>
                <w:sz w:val="26"/>
              </w:rPr>
              <w:t>17-07-2016</w:t>
            </w:r>
          </w:p>
        </w:tc>
        <w:tc>
          <w:p/>
          <w:p>
            <w:pPr>
              <w:spacing w:after="0" w:before="0" w:lineRule="auto" w:line="276"/>
              <w:jc w:val="left"/>
            </w:pPr>
            <w:r>
              <w:rPr>
                <w:rFonts w:ascii="Times New Roman" w:hAnsi="Times New Roman" w:cs="Times New Roman" w:eastAsia="Times New Roman"/>
                <w:b w:val="false"/>
                <w:sz w:val="26"/>
              </w:rPr>
              <w:t>Quốc Hội</w:t>
            </w:r>
          </w:p>
        </w:tc>
      </w:tr>
      <w:tr>
        <w:tc>
          <w:p/>
          <w:p>
            <w:pPr>
              <w:spacing w:after="0" w:before="0" w:lineRule="auto" w:line="276"/>
              <w:jc w:val="left"/>
            </w:pPr>
            <w:r>
              <w:rPr>
                <w:rFonts w:ascii="Times New Roman" w:hAnsi="Times New Roman" w:cs="Times New Roman" w:eastAsia="Times New Roman"/>
                <w:b w:val="false"/>
                <w:sz w:val="26"/>
              </w:rPr>
              <w:t>95/2023/NĐ-CP</w:t>
            </w:r>
          </w:p>
        </w:tc>
        <w:tc>
          <w:p/>
          <w:p>
            <w:pPr>
              <w:spacing w:after="0" w:before="0" w:lineRule="auto" w:line="276"/>
              <w:jc w:val="left"/>
            </w:pPr>
            <w:r>
              <w:rPr>
                <w:rFonts w:ascii="Times New Roman" w:hAnsi="Times New Roman" w:cs="Times New Roman" w:eastAsia="Times New Roman"/>
                <w:b w:val="false"/>
                <w:sz w:val="26"/>
              </w:rPr>
              <w:t>Nghị định số 95/2023/NĐ-CP ngày 29/12/2023 của Chính phủ quy định chi tiết một số điều và biện pháp thi hành Luật tín ngưỡng, tôn giáo.</w:t>
            </w:r>
          </w:p>
        </w:tc>
        <w:tc>
          <w:p/>
          <w:p>
            <w:pPr>
              <w:spacing w:after="0" w:before="0" w:lineRule="auto" w:line="276"/>
              <w:jc w:val="left"/>
            </w:pPr>
            <w:r>
              <w:rPr>
                <w:rFonts w:ascii="Times New Roman" w:hAnsi="Times New Roman" w:cs="Times New Roman" w:eastAsia="Times New Roman"/>
                <w:b w:val="false"/>
                <w:sz w:val="26"/>
              </w:rPr>
              <w:t>29-12-2023</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124/2025/NĐ-CP</w:t>
            </w:r>
          </w:p>
        </w:tc>
        <w:tc>
          <w:p/>
          <w:p>
            <w:pPr>
              <w:spacing w:after="0" w:before="0" w:lineRule="auto" w:line="276"/>
              <w:jc w:val="left"/>
            </w:pPr>
            <w:r>
              <w:rPr>
                <w:rFonts w:ascii="Times New Roman" w:hAnsi="Times New Roman" w:cs="Times New Roman" w:eastAsia="Times New Roman"/>
                <w:b w:val="false"/>
                <w:sz w:val="26"/>
              </w:rPr>
              <w:t>Nghị định số 124/2025/NĐ-CP</w:t>
            </w:r>
          </w:p>
        </w:tc>
        <w:tc>
          <w:p/>
          <w:p>
            <w:pPr>
              <w:spacing w:after="0" w:before="0" w:lineRule="auto" w:line="276"/>
              <w:jc w:val="left"/>
            </w:pPr>
            <w:r>
              <w:rPr>
                <w:rFonts w:ascii="Times New Roman" w:hAnsi="Times New Roman" w:cs="Times New Roman" w:eastAsia="Times New Roman"/>
                <w:b w:val="false"/>
                <w:sz w:val="26"/>
              </w:rPr>
              <w:t>11-06-2025</w:t>
            </w:r>
          </w:p>
        </w:tc>
        <w:tc>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 Cơ sở đào tạo tôn giáo có trách nhiệm đăng thông báo thời hạn thanh toán các khoản nợ (nếu có) cho các tổ chức, cá nhân có liên quan theo quy định của pháp luật trên 05 (năm) số liên tiếp của báo in ra hàng ngày hoặc 05 ngày liên tiếp trên báo điện tử ở trung ương đối với cơ sở đào tạo tôn giáo có địa bàn hoạt động ở nhiều tỉnh; trên 05 số liên tiếp của báo in ra hàng ngày hoặc 05 ngày liên tiếp trên báo điện tử ở địa phương đối với cơ sở đào tạo tôn giáo có địa bàn hoạt động ở một tỉnh.
- Chậm nhất 05 ngày làm việc kể từ ngày được chấp thuận việc giải thể cơ sở đào tạo tôn giáo, tổ chức tôn giáo có trách nhiệm giải thể cơ sở đào tạo tôn giáo và nộp lại cho cơ quan quản lý nhà nước về tín ngưỡng, tôn giáo ở trung ương bản chính văn bản chấp thuận thành lập cơ sở đào tạo tôn giáo của cơ quan nhà nước có thẩm quyền; bản chính văn bản thành lập cơ sở đào tạo tôn giáo của tổ chức tôn giáo; giấy chứng nhận hoặc văn bản xác nhận của cơ quan công an về việc cơ sở đào tạo tôn giáo bị giải thể đã nộp, hủy con dấu theo quy định.</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https://thutuc.dichvucong.gov.vn/p/home/dvc-tthc-thu-tuc-hanh-chinh-chi-tiet.html?ma_thu_tuc=342694</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2025-11-27T08:55:18Z</dcterms:created>
  <dc:creator>Apache POI</dc:creator>
</cp:coreProperties>
</file>