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tên của tổ chức tôn giáo, tổ chức tôn giáo trực thuộc có địa bàn hoạt động ở nhiều tỉnh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Trước khi thay đổi tên của tổ chức tôn giáo, tổ chức tôn giáo trực thuộc có địa bàn hoạt động ở nhiều tỉnh, tổ chức tôn giáo có trách nhiệm gửi hồ sơ đề nghị đến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hồ sơ đề nghị, trường hợp hồ sơ chưa đầy đủ, hợp lệ, Ban Tôn giáo Chính phủ hướng dẫn trực tiếp hoặc thông báo qua thư điện tử, tin nhắn điện thoại hoặc văn bản cho tổ chức để bổ sung, hoàn thiện hồ sơ. Trường hợp từ chối tiếp nhận, giải quyết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Bước 3: 
+ Ban Tôn giáo Chính phủ phối hợp với các cơ quan liên quan thẩm định hồ sơ trình Bộ Dân tộc và Tôn giáo.
+ Bộ Dân tộc và Tôn giáo căn cứ Tờ trình của Ban Tôn giáo Chính phủ chấp thuận hoặc không chấp thuận đề nghị thay đổi tên của tổ chức tôn giáo, tổ chức tôn giáo trực thuộc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Mẫu B11.docx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công nhận tổ chức tôn giáo của cơ quan nhà nước có thẩm quyền đối với trường hợp thay đổi tên của tổ chức tôn giáo;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chấp thuận thành lập, chia, tách, sáp nhập, hợp nhất tổ chức tôn giáo trực thuộc hoặc văn bản xác nhận của cơ quan nhà nước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thành lập, chia, tách, sáp nhập, hợp nhất tổ chức tôn giáo trực thuộc của tổ chức tôn giáo hoặc tổ chức tôn giáo trực thuộc quản lý trực tiếp đối với trường hợp thay đổi tên của tổ chức tôn giáo trực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 - 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đề nghị thay đổi tên của tổ chức tôn giáo, tổ chức tôn giáo trực thuộc.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03/2024/TT-BNV</w:t>
            </w:r>
          </w:p>
        </w:tc>
        <w:tc>
          <w:p/>
          <w:p>
            <w:pPr>
              <w:spacing w:after="0" w:before="0" w:lineRule="auto" w:line="276"/>
              <w:jc w:val="left"/>
            </w:pPr>
            <w:r>
              <w:rPr>
                <w:rFonts w:ascii="Times New Roman" w:hAnsi="Times New Roman" w:cs="Times New Roman" w:eastAsia="Times New Roman"/>
                <w:b w:val="false"/>
                <w:sz w:val="26"/>
              </w:rPr>
              <w:t>Thông tư số 03/2024/TT-BNV ngày 13/6/2024 của Bộ trưởng Bộ Nội vụ quy định phân cấp một số nhiệm vụ quản lý nhà nước về tín ngưỡng, tôn giáo của Bộ Nội vụ.</w:t>
            </w:r>
          </w:p>
        </w:tc>
        <w:tc>
          <w:p/>
          <w:p>
            <w:pPr>
              <w:spacing w:after="0" w:before="0" w:lineRule="auto" w:line="276"/>
              <w:jc w:val="left"/>
            </w:pPr>
            <w:r>
              <w:rPr>
                <w:rFonts w:ascii="Times New Roman" w:hAnsi="Times New Roman" w:cs="Times New Roman" w:eastAsia="Times New Roman"/>
                <w:b w:val="false"/>
                <w:sz w:val="26"/>
              </w:rPr>
              <w:t>13-06-2024</w:t>
            </w:r>
          </w:p>
        </w:tc>
        <w:tc>
          <w:p/>
          <w:p>
            <w:pPr>
              <w:spacing w:after="0" w:before="0" w:lineRule="auto" w:line="276"/>
              <w:jc w:val="left"/>
            </w:pPr>
            <w:r>
              <w:rPr>
                <w:rFonts w:ascii="Times New Roman" w:hAnsi="Times New Roman" w:cs="Times New Roman" w:eastAsia="Times New Roman"/>
                <w:b w:val="false"/>
                <w:sz w:val="26"/>
              </w:rPr>
              <w:t>Bộ Nội vụ</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Yêu cầu:
+ Tổ chức tôn giáo, tổ chức tôn giáo trực thuộc phải có tên bằng tiếng Việt.
+ Tên của tổ chức tôn giáo, tổ chức tôn giáo trực thuộc không trùng với tên tổ chức tôn giáo, tổ chức tôn giáo trực thuộc khác hoặc tổ chức khác đã được cấp chứng nhận đăng ký hoạt động tôn giáo, tên tổ chức chính trị, tổ chức chính trị - xã hội hoặc tên danh nhân, anh hùng dân tộc.
- Điều kiện: Tổ chức tôn giáo, tổ chức tôn giáo trực thuộc có địa bàn hoạt động ở nhiều tỉnh thay đổi tên phải được Bộ Dân tộc và Tôn giáo chấp thuận.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2025-11-27T08:55:28Z</dcterms:created>
  <dc:creator>Apache POI</dc:creator>
</cp:coreProperties>
</file>