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1.012585</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364/QĐ-BDTTG</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ĐĂNG KÝ THAY ĐỔI NGƯỜI ĐẠI DIỆN CỦA NHÓM SINH HOẠT TÔN GIÁO TẬP TRUNG (CẤP XÃ)</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Tín ngưỡng, tôn giáo</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Trước khi thay đổi người đại diện, nhóm sinh hoạt tôn giáo tập trung có trách nhiệm gửi hồ sơ đăng ký thay đổi người đại diện đến Ủy ban nhân dân cấp xã nơi có địa điểm sinh hoạt tôn giáo tập trung</w:t>
      </w:r>
    </w:p>
    <w:p>
      <w:pPr>
        <w:spacing w:after="0" w:before="0" w:lineRule="auto" w:line="276"/>
        <w:jc w:val="both"/>
      </w:pPr>
      <w:r>
        <w:rPr>
          <w:rFonts w:ascii="Times New Roman" w:hAnsi="Times New Roman" w:cs="Times New Roman" w:eastAsia="Times New Roman"/>
          <w:b w:val="false"/>
          <w:sz w:val="26"/>
        </w:rPr>
        <w:t>Bước 2: Ủy ban nhân dân cấp xã xem xét hồ sơ đăng ký, trường hợp hồ sơ chưa đầy đủ, hợp lệ, Ủy ban nhân dân cấp xã hướng dẫn trực tiếp hoặc thông báo qua thư điện tử, tin nhắn điện thoại hoặc văn bản cho nhóm sinh hoạt tôn giáo tập trung để bổ sung, hoàn thiện. Trường hợp từ chối tiếp nhận, giải quyết phải nêu rõ lý do. Thời gian hoàn thiện hồ sơ không tính vào thời hạn giải quyết.</w:t>
      </w:r>
    </w:p>
    <w:p>
      <w:pPr>
        <w:spacing w:after="0" w:before="0" w:lineRule="auto" w:line="276"/>
        <w:jc w:val="both"/>
      </w:pPr>
      <w:r>
        <w:rPr>
          <w:rFonts w:ascii="Times New Roman" w:hAnsi="Times New Roman" w:cs="Times New Roman" w:eastAsia="Times New Roman"/>
          <w:b w:val="false"/>
          <w:sz w:val="26"/>
        </w:rPr>
        <w:t>Bước 3: Sau khi thẩm định hồ sơ, Ủy ban nhân dân cấp xã chấp thuận hoặc không chấp thuận về việc đăng ký thay đổi người đại diện của nhóm sinh hoạt tôn giáo tập trung và gửi kết quả giải quyết về Bộ phận Tiếp nhận và trả kết quả của Ủy ban nhân dân cấp xã để trả cho nhóm sinh hoạt tôn giáo tập trung. Trường hợp không chấp thuận phải trả lời bằng văn bản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Nộp hồ sơ trực tiếp tại Bộ phận Tiếp nhận và trả kết quả của Ủy ban nhân dân cấp xã; 
Ủy ban nhân dân cấp xã tiếp nhận hồ sơ đăng ký, có Giấy tiếp nhận hồ sơ và hẹn ngày trả kết quả.</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Nộp hồ sơ  qua Cổng dịch vụ công trực tuyến.</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Nộp hồ sơ  qua dịch vụ bưu chính công ích; qua thuê dịch vụ của doanh nghiệp, cá nhân hoặc ủy quyền theo quy định của pháp luật 
Ngày tiếp nhận hồ sơ được tính theo ngày ghi trên dấu công văn đến.</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Sơ yếu lý lịch của người đại diện mới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Văn bản chấp thuận của tổ chức tôn giáo hoặc tổ chức được cấp chứng nhận đăng ký hoạt động tôn giáo về việc thay đổi người đại diện đối với nhóm sinh hoạt tôn giáo tập trung do tổ chức đăng ký;</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Biên bản cuộc họp bầu, cử người đại diện mới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Đăng ký thay đổi người đại diện của nhóm sinh hoạt tôn giáo tập trung là người Việt Nam (Mẫu B6, Phụ lục ban hành kèm theo Nghị định số 95/2023/NĐ-CP ngày 29/12/2023 của Chính phủ được sửa đổi bổ sung tại Phụ lục II, Nghị định số 124/NĐ-CP ngày 11/6/2025 của Chính phủ).</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xã</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trả lời về việc đăng ký thay đổi người đại diện của nhóm sinh hoạt tôn giáo  tập trung.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02/2016/QH14</w:t>
            </w:r>
          </w:p>
        </w:tc>
        <w:tc>
          <w:p/>
          <w:p>
            <w:pPr>
              <w:spacing w:after="0" w:before="0" w:lineRule="auto" w:line="276"/>
              <w:jc w:val="left"/>
            </w:pPr>
            <w:r>
              <w:rPr>
                <w:rFonts w:ascii="Times New Roman" w:hAnsi="Times New Roman" w:cs="Times New Roman" w:eastAsia="Times New Roman"/>
                <w:b w:val="false"/>
                <w:sz w:val="26"/>
              </w:rPr>
              <w:t>Luật tín ngưỡng, tôn giáo (Luật số 02/2016/QH14 ngày 18/11/2016).</w:t>
            </w:r>
          </w:p>
        </w:tc>
        <w:tc>
          <w:p/>
          <w:p>
            <w:pPr>
              <w:spacing w:after="0" w:before="0" w:lineRule="auto" w:line="276"/>
              <w:jc w:val="left"/>
            </w:pPr>
            <w:r>
              <w:rPr>
                <w:rFonts w:ascii="Times New Roman" w:hAnsi="Times New Roman" w:cs="Times New Roman" w:eastAsia="Times New Roman"/>
                <w:b w:val="false"/>
                <w:sz w:val="26"/>
              </w:rPr>
              <w:t>17-07-2016</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95/2023/NĐ-CP</w:t>
            </w:r>
          </w:p>
        </w:tc>
        <w:tc>
          <w:p/>
          <w:p>
            <w:pPr>
              <w:spacing w:after="0" w:before="0" w:lineRule="auto" w:line="276"/>
              <w:jc w:val="left"/>
            </w:pPr>
            <w:r>
              <w:rPr>
                <w:rFonts w:ascii="Times New Roman" w:hAnsi="Times New Roman" w:cs="Times New Roman" w:eastAsia="Times New Roman"/>
                <w:b w:val="false"/>
                <w:sz w:val="26"/>
              </w:rPr>
              <w:t>Nghị định số 95/2023/NĐ-CP ngày 29/12/2023 của Chính phủ quy định chi tiết một số điều và biện pháp thi hành Luật tín ngưỡng, tôn giáo.</w:t>
            </w:r>
          </w:p>
        </w:tc>
        <w:tc>
          <w:p/>
          <w:p>
            <w:pPr>
              <w:spacing w:after="0" w:before="0" w:lineRule="auto" w:line="276"/>
              <w:jc w:val="left"/>
            </w:pPr>
            <w:r>
              <w:rPr>
                <w:rFonts w:ascii="Times New Roman" w:hAnsi="Times New Roman" w:cs="Times New Roman" w:eastAsia="Times New Roman"/>
                <w:b w:val="false"/>
                <w:sz w:val="26"/>
              </w:rPr>
              <w:t>29-12-2023</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124/2025/NĐ-CP</w:t>
            </w:r>
          </w:p>
        </w:tc>
        <w:tc>
          <w:p/>
          <w:p>
            <w:pPr>
              <w:spacing w:after="0" w:before="0" w:lineRule="auto" w:line="276"/>
              <w:jc w:val="left"/>
            </w:pPr>
            <w:r>
              <w:rPr>
                <w:rFonts w:ascii="Times New Roman" w:hAnsi="Times New Roman" w:cs="Times New Roman" w:eastAsia="Times New Roman"/>
                <w:b w:val="false"/>
                <w:sz w:val="26"/>
              </w:rPr>
              <w:t>Nghị định số 124/2025/NĐ-CP</w:t>
            </w:r>
          </w:p>
        </w:tc>
        <w:tc>
          <w:p/>
          <w:p>
            <w:pPr>
              <w:spacing w:after="0" w:before="0" w:lineRule="auto" w:line="276"/>
              <w:jc w:val="left"/>
            </w:pPr>
            <w:r>
              <w:rPr>
                <w:rFonts w:ascii="Times New Roman" w:hAnsi="Times New Roman" w:cs="Times New Roman" w:eastAsia="Times New Roman"/>
                <w:b w:val="false"/>
                <w:sz w:val="26"/>
              </w:rPr>
              <w:t>11-06-2025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https://thutuc.dichvucong.gov.vn/p/home/dvc-tthc-thu-tuc-hanh-chinh-chi-tiet.html?ma_thu_tuc=342719</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2025-11-27T08:55:28Z</dcterms:created>
  <dc:creator>Apache POI</dc:creator>
</cp:coreProperties>
</file>