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1.012641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364/QĐ-BDTTG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ĐỀ NGHỊ CẤP ĐĂNG KÝ PHÁP NHÂN PHI THƯƠNG MẠI CHO TỔ CHỨC TÔN GIÁO TRỰC THUỘC CÓ ĐỊA BÀN HOẠT ĐỘNG Ở MỘT TỈNH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Tín ngưỡng, tôn giáo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Bước 1: Tổ chức tôn giáo đề nghị cấp đăng ký pháp nhân phi thương mại cho tổ chức tôn giáo trực thuộc có địa bàn hoạt động ở một tỉnh có trách nhiệm gửi hồ sơ đề nghị đến Sở Dân tộc và Tôn giáo hoặc Sở Nội vụ.</w:t>
      </w:r>
    </w:p>
    <w:p>
      <w:pPr>
        <w:spacing w:after="0" w:before="0" w:lineRule="auto" w:line="276"/>
        <w:jc w:val="both"/>
      </w:pPr>
      <w:r>
        <w:rPr>
          <w:rFonts w:ascii="Times New Roman" w:hAnsi="Times New Roman" w:cs="Times New Roman" w:eastAsia="Times New Roman"/>
          <w:b w:val="false"/>
          <w:sz w:val="26"/>
        </w:rPr>
        <w:t>Bước 2: Sở Dân tộc và Tôn giáo hoặc Sở Nội vụ xem xét hồ sơ đề nghị, trường hợp hồ sơ chưa đầy đủ, hợp lệ, Sở Dân tộc và Tôn giáo hoặc Sở Nội vụ hướng dẫn trực tiếp hoặc thông báo qua thư điện tử, tin nhắn điện thoại hoặc văn bản cho tổ chức để bổ sung, hoàn thiện hồ sơ. Trường hợp từ chối tiếp nhận, giải quyết hồ sơ phải nêu rõ lý do. Thời gian hoàn thiện hồ sơ không tính vào thời hạn giải quyết.</w:t>
      </w:r>
    </w:p>
    <w:p>
      <w:pPr>
        <w:spacing w:after="0" w:before="0" w:lineRule="auto" w:line="276"/>
        <w:jc w:val="both"/>
      </w:pPr>
      <w:r>
        <w:rPr>
          <w:rFonts w:ascii="Times New Roman" w:hAnsi="Times New Roman" w:cs="Times New Roman" w:eastAsia="Times New Roman"/>
          <w:b w:val="false"/>
          <w:sz w:val="26"/>
        </w:rPr>
        <w:t>Bước 3:
+ Sở Dân tộc và Tôn giáo hoặc Sở Nội vụ phối hợp với các cơ quan liên quan thẩm định hồ sơ (nếu cần thiết), trình Ủy ban nhân dân cấp tỉnh.
+ Ủy ban nhân dân cấp tỉnh căn cứ Tờ trình của Sở Dân tộc và Tôn giáo hoặc Sở Nội vụ chấp thuận hoặc không chấp thuận về việc cấp đăng ký pháp nhân phi thương mại cho tổ chức tôn giáo trực thuộc có địa bàn hoạt động ở một tỉnh và gửi kết quả giải quyết về Trung tâm Hành chính công của tỉnh hoặc Bộ phận Tiếp nhận và trả kết quả của Sở Dân tộc và Tôn giáo hoặc Sở Nội vụ để trả cho tổ chức. Trường hợp không chấp thuận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60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trực tiếp tại Trung tâm Hành chính công của tỉnh hoặc Bộ phận Tiếp nhận và trả kết quả của Sở Dân tộc và Tôn giáo hoặc Sở Nội vụ.
Sở Dân tộc và Tôn giáo hoặc Sở Nội vụ tiếp nhận hồ sơ đề nghị, có Giấy tiếp nhận hồ sơ và hẹn ngày trả kết quả.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60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qua Cổng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60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qua dịch vụ bưu chính công ích; qua thuê dịch vụ của doanh nghiệp, cá nhân hoặc ủy quyền theo quy định của pháp luật.
Ngày tiếp nhận hồ sơ được tính theo ngày ghi trên dấu công văn đến.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cấp đăng ký pháp nhân phi thương mại cho tổ chức tôn giáo trực thuộc</w:t>
            </w:r>
          </w:p>
        </w:tc>
        <w:tc>
          <w:p/>
          <w:p>
            <w:pPr>
              <w:spacing w:after="0" w:before="0" w:lineRule="auto" w:line="276"/>
              <w:jc w:val="left"/>
            </w:pPr>
            <w:r>
              <w:rPr>
                <w:rFonts w:ascii="Times New Roman" w:hAnsi="Times New Roman" w:cs="Times New Roman" w:eastAsia="Times New Roman"/>
                <w:b w:val="false"/>
                <w:sz w:val="26"/>
              </w:rPr>
              <w:t>MuB15.docx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tóm tắt quá trình hoạt động tôn giáo của tổ chức tôn giáo trực thuộc từ khi được thành lập, chia, tách, sáp nhập, hợp nhất;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Bản kê khai và giấy tờ chứng minh tài sản hợp pháp của tổ chức tôn giáo trực thuộc;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Danh sách, sơ yếu lý lịch, bản tóm tắt quá trình hoạt động tôn giáo của người đại diện và những người lãnh đạo của tổ chức tôn giáo trực thuộc;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Nội vụ, Sở Dân tộc và Tôn giáo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trả lời về việc cấp đăng ký pháp nhân phi thương mại cho tổ chức tôn giáo trực thuộc.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02/2016/QH14</w:t>
            </w:r>
          </w:p>
        </w:tc>
        <w:tc>
          <w:p/>
          <w:p>
            <w:pPr>
              <w:spacing w:after="0" w:before="0" w:lineRule="auto" w:line="276"/>
              <w:jc w:val="left"/>
            </w:pPr>
            <w:r>
              <w:rPr>
                <w:rFonts w:ascii="Times New Roman" w:hAnsi="Times New Roman" w:cs="Times New Roman" w:eastAsia="Times New Roman"/>
                <w:b w:val="false"/>
                <w:sz w:val="26"/>
              </w:rPr>
              <w:t>Luật tín ngưỡng, tôn giáo (Luật số 02/2016/QH14 ngày 18/11/2016).</w:t>
            </w:r>
          </w:p>
        </w:tc>
        <w:tc>
          <w:p/>
          <w:p>
            <w:pPr>
              <w:spacing w:after="0" w:before="0" w:lineRule="auto" w:line="276"/>
              <w:jc w:val="left"/>
            </w:pPr>
            <w:r>
              <w:rPr>
                <w:rFonts w:ascii="Times New Roman" w:hAnsi="Times New Roman" w:cs="Times New Roman" w:eastAsia="Times New Roman"/>
                <w:b w:val="false"/>
                <w:sz w:val="26"/>
              </w:rPr>
              <w:t>17-07-2016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95/2023/NĐ-CP</w:t>
            </w:r>
          </w:p>
        </w:tc>
        <w:tc>
          <w:p/>
          <w:p>
            <w:pPr>
              <w:spacing w:after="0" w:before="0" w:lineRule="auto" w:line="276"/>
              <w:jc w:val="left"/>
            </w:pPr>
            <w:r>
              <w:rPr>
                <w:rFonts w:ascii="Times New Roman" w:hAnsi="Times New Roman" w:cs="Times New Roman" w:eastAsia="Times New Roman"/>
                <w:b w:val="false"/>
                <w:sz w:val="26"/>
              </w:rPr>
              <w:t>Nghị định số 95/2023/NĐ-CP ngày 29/12/2023 của Chính phủ quy định chi tiết một số điều và biện pháp thi hành Luật tín ngưỡng, tôn giáo.</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124/2025/NĐ-CP</w:t>
            </w:r>
          </w:p>
        </w:tc>
        <w:tc>
          <w:p/>
          <w:p>
            <w:pPr>
              <w:spacing w:after="0" w:before="0" w:lineRule="auto" w:line="276"/>
              <w:jc w:val="left"/>
            </w:pPr>
            <w:r>
              <w:rPr>
                <w:rFonts w:ascii="Times New Roman" w:hAnsi="Times New Roman" w:cs="Times New Roman" w:eastAsia="Times New Roman"/>
                <w:b w:val="false"/>
                <w:sz w:val="26"/>
              </w:rPr>
              <w:t>Nghị định số 124/2025/NĐ-CP</w:t>
            </w:r>
          </w:p>
        </w:tc>
        <w:tc>
          <w:p/>
          <w:p>
            <w:pPr>
              <w:spacing w:after="0" w:before="0" w:lineRule="auto" w:line="276"/>
              <w:jc w:val="left"/>
            </w:pPr>
            <w:r>
              <w:rPr>
                <w:rFonts w:ascii="Times New Roman" w:hAnsi="Times New Roman" w:cs="Times New Roman" w:eastAsia="Times New Roman"/>
                <w:b w:val="false"/>
                <w:sz w:val="26"/>
              </w:rPr>
              <w:t>11-06-2025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Tổ chức tôn giáo trực thuộc có địa bàn hoạt động ở một tỉnh để được tổ chức tôn giáo để nghị cấp đăng ký pháp nhân phi thương mại phải đáp ứng các điều kiện sau đây:
- Có cơ cấu tổ chức theo hiến chương.
- Có tài sản độc lập với cá nhân, tổ chức khác và tự chịu trách nhiệm bằng tài sản của mình.
- Nhân danh tổ chức tham gia quan hệ pháp luật một cách độc lập.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https://thutuc.dichvucong.gov.vn/p/home/dvc-tthc-thu-tuc-hanh-chinh-chi-tiet.html?ma_thu_tuc=342748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2025-11-27T08:55:42Z</dcterms:created>
  <dc:creator>Apache POI</dc:creator>
</cp:coreProperties>
</file>