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1.012652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364/QĐ-BDTTG</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đề nghị mời tổ chức, cá nhân nước ngoài vào việt nam thực hiện hoạt động tôn giáo ở nhiều tỉnh hoặc hoạt động quan hệ quốc tế về tôn giáo (Cấp Trung 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Tín ngưỡng, tôn giáo</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Tổ chức tôn giáo, tổ chức tôn giáo trực thuộc trước khi mời tổ chức, cá nhân nước ngoài vào Việt Nam để thực hiện các hoạt động tôn giáo ở nhiều tỉnh hoặc hoạt động quan hệ quốc tế về tôn giáo có trách nhiệm gửi hồ sơ đề nghị đến Ban Tôn giáo Chính phủ.
- Bước 2: Ban Tôn giáo Chính phủ xem xét hồ sơ đề nghị, trường hợp hồ sơ chưa đầy đủ, hợp lệ, Ban Tôn giáo Chính phủ hướng dẫn trực tiếp hoặc thông báo qua thư điện tử, tin nhắn điện thoại hoặc văn bản cho tổ chức để bổ sung, hoàn thiện hồ sơ. Trường hợp từ chối tiếp nhận, giải quyết phải nêu rõ lý do. Thời gian hoàn thiện hồ sơ không tính vào thời hạn giải quyết.
- Bước 3 :
+ Ban Tôn giáo Chính phủ phối hợp với các cơ quan liên quan thẩm định hồ sơ trình Bộ Dân tộc và Tôn giáo.
+ Bộ Dân tộc và Tôn giáo căn cứ Tờ trình của Ban Tôn giáo Chính phủ chấp thuận hoặc không chấp thuận về việc mời tổ chức, cá nhân nước ngoài vào Việt Nam để thực hiện các hoạt động tôn giáo ở nhiều tỉnh hoặc hoạt động quan hệ quốc tế về tôn giáo và gửi kết quả giải quyết về Bộ phận Tiếp nhận và trả kết quả của Ban Tôn giáo Chính phủ để trả cho tổ chức. Trường hợp từ chối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45 Ngày</w:t>
            </w:r>
          </w:p>
        </w:tc>
        <w:tc>
          <w:p/>
          <w:p>
            <w:pPr>
              <w:spacing w:after="0" w:before="0" w:lineRule="auto" w:line="276"/>
              <w:jc w:val="left"/>
            </w:pPr>
            <w:r>
              <w:rPr>
                <w:rFonts w:ascii="Times New Roman" w:hAnsi="Times New Roman" w:cs="Times New Roman" w:eastAsia="Times New Roman"/>
                <w:b w:val="false"/>
                <w:sz w:val="26"/>
              </w:rPr>
              <w:t>Phí : 0 Đồng</w:t>
            </w:r>
          </w:p>
        </w:tc>
        <w:tc>
          <w:p/>
          <w:p>
            <w:pPr>
              <w:spacing w:after="0" w:before="0" w:lineRule="auto" w:line="276"/>
              <w:jc w:val="left"/>
            </w:pPr>
            <w:r>
              <w:rPr>
                <w:rFonts w:ascii="Times New Roman" w:hAnsi="Times New Roman" w:cs="Times New Roman" w:eastAsia="Times New Roman"/>
                <w:b w:val="false"/>
                <w:sz w:val="26"/>
              </w:rPr>
              <w:t>Nộp hồ sơ trực tiếp tại Bộ phận Tiếp nhận và trả kết quả của Ban Tôn giáo Chính phủ.
Ban Tôn giáo Chính phủ tiếp nhận hồ sơ đề nghị, có Giấy tiếp nhận hồ sơ và hẹn ngày trả kết quả.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45 Ngày</w:t>
            </w:r>
          </w:p>
        </w:tc>
        <w:tc>
          <w:p/>
          <w:p>
            <w:pPr>
              <w:spacing w:after="0" w:before="0" w:lineRule="auto" w:line="276"/>
              <w:jc w:val="left"/>
            </w:pPr>
            <w:r>
              <w:rPr>
                <w:rFonts w:ascii="Times New Roman" w:hAnsi="Times New Roman" w:cs="Times New Roman" w:eastAsia="Times New Roman"/>
                <w:b w:val="false"/>
                <w:sz w:val="26"/>
              </w:rPr>
              <w:t>Phí : 0 Đồng</w:t>
            </w:r>
          </w:p>
        </w:tc>
        <w:tc>
          <w:p/>
          <w:p>
            <w:pPr>
              <w:spacing w:after="0" w:before="0" w:lineRule="auto" w:line="276"/>
              <w:jc w:val="left"/>
            </w:pPr>
            <w:r>
              <w:rPr>
                <w:rFonts w:ascii="Times New Roman" w:hAnsi="Times New Roman" w:cs="Times New Roman" w:eastAsia="Times New Roman"/>
                <w:b w:val="false"/>
                <w:sz w:val="26"/>
              </w:rPr>
              <w:t>Nộp hồ sơ qua Cổng dịch vụ công trực tuyến.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45 Ngày</w:t>
            </w:r>
          </w:p>
        </w:tc>
        <w:tc>
          <w:p/>
          <w:p>
            <w:pPr>
              <w:spacing w:after="0" w:before="0" w:lineRule="auto" w:line="276"/>
              <w:jc w:val="left"/>
            </w:pPr>
            <w:r>
              <w:rPr>
                <w:rFonts w:ascii="Times New Roman" w:hAnsi="Times New Roman" w:cs="Times New Roman" w:eastAsia="Times New Roman"/>
                <w:b w:val="false"/>
                <w:sz w:val="26"/>
              </w:rPr>
              <w:t>Phí : 0 Đồng</w:t>
            </w:r>
          </w:p>
        </w:tc>
        <w:tc>
          <w:p/>
          <w:p>
            <w:pPr>
              <w:spacing w:after="0" w:before="0" w:lineRule="auto" w:line="276"/>
              <w:jc w:val="left"/>
            </w:pPr>
            <w:r>
              <w:rPr>
                <w:rFonts w:ascii="Times New Roman" w:hAnsi="Times New Roman" w:cs="Times New Roman" w:eastAsia="Times New Roman"/>
                <w:b w:val="false"/>
                <w:sz w:val="26"/>
              </w:rPr>
              <w:t>Nộp hồ sơ qua dịch vụ bưu chính công ích; qua thuê dịch vụ của doanh nghiệp, cá nhân hoặc ủy quyền theo quy định của pháp luật.
Ngày tiếp nhận hồ sơ được tính theo ngày ghi trên dấu công văn đến.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(theo mẫu);;;</w:t>
            </w:r>
          </w:p>
        </w:tc>
        <w:tc>
          <w:p/>
          <w:p>
            <w:pPr>
              <w:spacing w:after="0" w:before="0" w:lineRule="auto" w:line="276"/>
              <w:jc w:val="left"/>
            </w:pPr>
            <w:r>
              <w:rPr>
                <w:rFonts w:ascii="Times New Roman" w:hAnsi="Times New Roman" w:cs="Times New Roman" w:eastAsia="Times New Roman"/>
                <w:b w:val="false"/>
                <w:sz w:val="26"/>
              </w:rPr>
              <w:t>Mẫu B39.docx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Danh sách khách mời; dự kiến chương trình;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giới thiệu tóm tắt các hoạt động chủ yếu của tổ chức, cá nhân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chứng minh chức danh hoạt động tôn giáo của người được mời.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Dân tộc và Tôn giáo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Dân tộc và Tôn giáo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trả lời về việc mời tổ chức, cá nhân nước ngoài vào Việt Nam để thực hiện các hoạt động tôn giáo ở nhiều tỉnh hoặc  hoạt động quan hệ quốc tế  về tôn giáo.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02/2016/QH14</w:t>
            </w:r>
          </w:p>
        </w:tc>
        <w:tc>
          <w:p/>
          <w:p>
            <w:pPr>
              <w:spacing w:after="0" w:before="0" w:lineRule="auto" w:line="276"/>
              <w:jc w:val="left"/>
            </w:pPr>
            <w:r>
              <w:rPr>
                <w:rFonts w:ascii="Times New Roman" w:hAnsi="Times New Roman" w:cs="Times New Roman" w:eastAsia="Times New Roman"/>
                <w:b w:val="false"/>
                <w:sz w:val="26"/>
              </w:rPr>
              <w:t>Luật tín ngưỡng, tôn giáo (Luật số 02/2016/QH14 ngày 18/11/2016).</w:t>
            </w:r>
          </w:p>
        </w:tc>
        <w:tc>
          <w:p/>
          <w:p>
            <w:pPr>
              <w:spacing w:after="0" w:before="0" w:lineRule="auto" w:line="276"/>
              <w:jc w:val="left"/>
            </w:pPr>
            <w:r>
              <w:rPr>
                <w:rFonts w:ascii="Times New Roman" w:hAnsi="Times New Roman" w:cs="Times New Roman" w:eastAsia="Times New Roman"/>
                <w:b w:val="false"/>
                <w:sz w:val="26"/>
              </w:rPr>
              <w:t>17-07-2016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95/2023/NĐ-CP</w:t>
            </w:r>
          </w:p>
        </w:tc>
        <w:tc>
          <w:p/>
          <w:p>
            <w:pPr>
              <w:spacing w:after="0" w:before="0" w:lineRule="auto" w:line="276"/>
              <w:jc w:val="left"/>
            </w:pPr>
            <w:r>
              <w:rPr>
                <w:rFonts w:ascii="Times New Roman" w:hAnsi="Times New Roman" w:cs="Times New Roman" w:eastAsia="Times New Roman"/>
                <w:b w:val="false"/>
                <w:sz w:val="26"/>
              </w:rPr>
              <w:t>Nghị định số 95/2023/NĐ-CP ngày 29/12/2023 của Chính phủ quy định chi tiết một số điều và biện pháp thi hành Luật tín ngưỡng, tôn giáo.</w:t>
            </w:r>
          </w:p>
        </w:tc>
        <w:tc>
          <w:p/>
          <w:p>
            <w:pPr>
              <w:spacing w:after="0" w:before="0" w:lineRule="auto" w:line="276"/>
              <w:jc w:val="left"/>
            </w:pPr>
            <w:r>
              <w:rPr>
                <w:rFonts w:ascii="Times New Roman" w:hAnsi="Times New Roman" w:cs="Times New Roman" w:eastAsia="Times New Roman"/>
                <w:b w:val="false"/>
                <w:sz w:val="26"/>
              </w:rPr>
              <w:t>29-12-2023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124/2025/NĐ-CP</w:t>
            </w:r>
          </w:p>
        </w:tc>
        <w:tc>
          <w:p/>
          <w:p>
            <w:pPr>
              <w:spacing w:after="0" w:before="0" w:lineRule="auto" w:line="276"/>
              <w:jc w:val="left"/>
            </w:pPr>
            <w:r>
              <w:rPr>
                <w:rFonts w:ascii="Times New Roman" w:hAnsi="Times New Roman" w:cs="Times New Roman" w:eastAsia="Times New Roman"/>
                <w:b w:val="false"/>
                <w:sz w:val="26"/>
              </w:rPr>
              <w:t>Nghị định số 124/2025/NĐ-CP</w:t>
            </w:r>
          </w:p>
        </w:tc>
        <w:tc>
          <w:p/>
          <w:p>
            <w:pPr>
              <w:spacing w:after="0" w:before="0" w:lineRule="auto" w:line="276"/>
              <w:jc w:val="left"/>
            </w:pPr>
            <w:r>
              <w:rPr>
                <w:rFonts w:ascii="Times New Roman" w:hAnsi="Times New Roman" w:cs="Times New Roman" w:eastAsia="Times New Roman"/>
                <w:b w:val="false"/>
                <w:sz w:val="26"/>
              </w:rPr>
              <w:t>11-06-2025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https://thutuc.dichvucong.gov.vn/p/home/dvc-tthc-thu-tuc-hanh-chinh-chi-tiet.html?ma_thu_tuc=342798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2025-11-27T08:56:06Z</dcterms:created>
  <dc:creator>Apache POI</dc:creator>
</cp:coreProperties>
</file>