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1.012655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364/QĐ-BDTTG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đề nghị mời chức sắc, nhà tu hành là người nước ngoài đến giảng đạo cho nhóm người nước ngoài sinh hoạt tôn giáo tập trung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Tín ngưỡng, tôn giáo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Bước 1: Nhóm người nước ngoài sinh hoạt tôn giáo tập trung mời chức sắc, nhà tu hành là người nước ngoài đến giảng đạo có trách nhiệm gửi hồ sơ đề nghị công nhận tổ chức tôn giáo đến Sở Dân tộc và Tôn giáo hoặc Sở Nội vụ.
- Bước 2: Sở Dân tộc và Tôn giáo hoặc Sở Nội vụ xem xét hồ sơ đề nghị, trường hợp hồ sơ chưa đầy đủ, hợp lệ, Sở Dân tộc và Tôn giáo hoặc Sở Nội vụ hướng dẫn trực tiếp hoặc thông báo qua thư điện tử, tin nhắn điện thoại hoặc văn bản cho người đại diện để bổ sung, hoàn thiện hồ sơ. Trường hợp từ chối tiếp nhận, giải quyết phải nêu rõ lý do. Thời gian hoàn thiện hồ sơ không tính vào thời hạn giải quyết.
- Bước 3:
+ Sở Dân tộc và Tôn giáo hoặc Sở Nội vụ phối hợp với các cơ quan liên quan thẩm định hồ sơ trình Ủy ban nhân dân cấp tỉnh.
+ Ủy ban nhân dân cấp tỉnh căn cứ Tờ trình của Sở Dân tộc và Tôn giáo hoặc Sở Nội vụ chấp thuận hoặc không chấp thuận về việc mời chức sắc, nhà tu hành là người nước ngoài đến giảng đạo cho nhóm người nước ngoài sinh hoạt tôn giáo tập trung và gửi kết quả giải quyết về Trung tâm Hành chính công của tỉnh hoặc Bộ phận Tiếp nhận và trả kết quả của Sở Dân tộc và Tôn giáo hoặc Sở Nội vụ để trả cho tổ chức. Trường hợp không công nhận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Nộp hồ sơ trực tiếp tại Trung tâm Hành chính công của tỉnh hoặc Bộ phận Tiếp nhận và trả kết quả của Sở Dân tộc và Tôn giáo hoặc Sở Nội vụ.
Trung tâp Hành chính công hoặc Sở Dân tộc và Tôn giáo hoặc Sở Nội vụ tiếp nhận hồ sơ đề nghị, có Giấy tiếp nhận hồ sơ và hẹn ngày trả kết quả.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45 Ngày làm việc</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Nộp hồ sơ qua Cổng dịch vụ công trực tuyến.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45 Ngày làm việc</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Nộp hồ sơ qua dịch vụ bưu chính công ích; qua thuê dịch vụ của doanh nghiệp, cá nhân hoặc ủy quyền theo quy định của pháp luật 
Ngày tiếp nhận hồ sơ được tính theo ngày ghi trên dấu công văn đến.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(theo mẫu);;......</w:t>
            </w:r>
          </w:p>
        </w:tc>
        <w:tc>
          <w:p/>
          <w:p>
            <w:pPr>
              <w:spacing w:after="0" w:before="0" w:lineRule="auto" w:line="276"/>
              <w:jc w:val="left"/>
            </w:pPr>
            <w:r>
              <w:rPr>
                <w:rFonts w:ascii="Times New Roman" w:hAnsi="Times New Roman" w:cs="Times New Roman" w:eastAsia="Times New Roman"/>
                <w:b w:val="false"/>
                <w:sz w:val="26"/>
              </w:rPr>
              <w:t>MuB41.docx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Danh sách khách mời; dự kiến chương trình;;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giới thiệu tóm tắt các hoạt động chủ yếu của chức sắc, nhà tu hành là người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chứng minh chức danh hoạt động tôn giáo của người được mời...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Tên mẫu đơn, mẫu tờ khai: Đề nghị về việc nhóm người nước ngoài sinh hoạt tôn giáo tập trung mời chức sắc, nhà tu hành là người nước ngoài giảng đạo (Mẫu B41, Phụ lục ban hành kèm theo Nghị định số 95/2023/NĐ-CP ngày 29/12/2023 của Chính phủ, được sửa đổi bổ sung tại Phụ lục II, Nghị định số 124/2025/NĐ-CP ngày 11/6/2025 của Chính phủ).</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trả lời về việc mời chức sắc,nhà tu hành là người nước ngoài đến giảng đạo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02/2016/QH14</w:t>
            </w:r>
          </w:p>
        </w:tc>
        <w:tc>
          <w:p/>
          <w:p>
            <w:pPr>
              <w:spacing w:after="0" w:before="0" w:lineRule="auto" w:line="276"/>
              <w:jc w:val="left"/>
            </w:pPr>
            <w:r>
              <w:rPr>
                <w:rFonts w:ascii="Times New Roman" w:hAnsi="Times New Roman" w:cs="Times New Roman" w:eastAsia="Times New Roman"/>
                <w:b w:val="false"/>
                <w:sz w:val="26"/>
              </w:rPr>
              <w:t>Luật tín ngưỡng, tôn giáo (Luật số 02/2016/QH14 ngày 18/11/2016).</w:t>
            </w:r>
          </w:p>
        </w:tc>
        <w:tc>
          <w:p/>
          <w:p>
            <w:pPr>
              <w:spacing w:after="0" w:before="0" w:lineRule="auto" w:line="276"/>
              <w:jc w:val="left"/>
            </w:pPr>
            <w:r>
              <w:rPr>
                <w:rFonts w:ascii="Times New Roman" w:hAnsi="Times New Roman" w:cs="Times New Roman" w:eastAsia="Times New Roman"/>
                <w:b w:val="false"/>
                <w:sz w:val="26"/>
              </w:rPr>
              <w:t>17-07-2016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95/2023/NĐ-CP</w:t>
            </w:r>
          </w:p>
        </w:tc>
        <w:tc>
          <w:p/>
          <w:p>
            <w:pPr>
              <w:spacing w:after="0" w:before="0" w:lineRule="auto" w:line="276"/>
              <w:jc w:val="left"/>
            </w:pPr>
            <w:r>
              <w:rPr>
                <w:rFonts w:ascii="Times New Roman" w:hAnsi="Times New Roman" w:cs="Times New Roman" w:eastAsia="Times New Roman"/>
                <w:b w:val="false"/>
                <w:sz w:val="26"/>
              </w:rPr>
              <w:t>Nghị định số 95/2023/NĐ-CP ngày 29/12/2023 của Chính phủ quy định chi tiết một số điều và biện pháp thi hành Luật tín ngưỡng, tôn giáo.</w:t>
            </w:r>
          </w:p>
        </w:tc>
        <w:tc>
          <w:p/>
          <w:p>
            <w:pPr>
              <w:spacing w:after="0" w:before="0" w:lineRule="auto" w:line="276"/>
              <w:jc w:val="left"/>
            </w:pPr>
            <w:r>
              <w:rPr>
                <w:rFonts w:ascii="Times New Roman" w:hAnsi="Times New Roman" w:cs="Times New Roman" w:eastAsia="Times New Roman"/>
                <w:b w:val="false"/>
                <w:sz w:val="26"/>
              </w:rPr>
              <w:t>29-12-2023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124/2025/NĐ-CP</w:t>
            </w:r>
          </w:p>
        </w:tc>
        <w:tc>
          <w:p/>
          <w:p>
            <w:pPr>
              <w:spacing w:after="0" w:before="0" w:lineRule="auto" w:line="276"/>
              <w:jc w:val="left"/>
            </w:pPr>
            <w:r>
              <w:rPr>
                <w:rFonts w:ascii="Times New Roman" w:hAnsi="Times New Roman" w:cs="Times New Roman" w:eastAsia="Times New Roman"/>
                <w:b w:val="false"/>
                <w:sz w:val="26"/>
              </w:rPr>
              <w:t>Nghị định số 124/2025/NĐ-CP</w:t>
            </w:r>
          </w:p>
        </w:tc>
        <w:tc>
          <w:p/>
          <w:p>
            <w:pPr>
              <w:spacing w:after="0" w:before="0" w:lineRule="auto" w:line="276"/>
              <w:jc w:val="left"/>
            </w:pPr>
            <w:r>
              <w:rPr>
                <w:rFonts w:ascii="Times New Roman" w:hAnsi="Times New Roman" w:cs="Times New Roman" w:eastAsia="Times New Roman"/>
                <w:b w:val="false"/>
                <w:sz w:val="26"/>
              </w:rPr>
              <w:t>11-06-2025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https://thutuc.dichvucong.gov.vn/p/home/dvc-tthc-thu-tuc-hanh-chinh-chi-tiet.html?ma_thu_tuc=342776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2025-11-27T08:55:56Z</dcterms:created>
  <dc:creator>Apache POI</dc:creator>
</cp:coreProperties>
</file>