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chứng nhận đủ điều kiện hoạt động kiểm định chất lượng giáo dục nghề nghiệp trong trường hợp tổ chức kiểm định đề nghị chấm dứt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tổ chức kiểm định đề nghị chấm dứt hoạt động kiểm định chất lượng giáo dục nghề nghiệp:
- Bước 1: Tổ chức kiểm định gửi 01 bộ hồ sơ đề nghị chấm dứt hoạt động kiểm định chất lượng giáo dục nghề nghiệp đến Cục Giáo dục nghề nghiệp và Giáo dục thường xuyên.
- Bước 2: Trong thời hạn 30 ngày làm việc kể từ ngày nhận đủ hồ sơ hợp lệ, Cục Giáo dục nghề nghiệp và Giáo dục thường xuyên xem xét, trình Cục trưởng Cục Giáo dục nghề nghiệp và Giáo dục thường xuyên quyết định thu hồi Giấy chứng nhận đủ điều kiện hoạt động kiểm định. Trường hợp hồ sơ không hợp lệ, trong thời hạn 05 ngày làm việc kể từ ngày nhận được hồ sơ, Cục Giáo dục nghề nghiệp và Giáo dục thường xuyên có văn bản trả lời cho tổ chức kiểm định đề nghị chấm dứt hoạt động kiểm định chất lượng giáo dục nghề nghiệp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Cổng Dịch vụ công quốc gia hoặc Cổng Dịch vụ công của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chấm dứt hoạt động kiểm định chất lượng giáo dục nghề nghiệp (Mẫu số 04 quy định tại Phụ lục I kèm theo Nghị định số 4/2023/NĐ-CP); - Bản sao Giấy chứng nhận đủ điều kiện hoạt động kiểm định đã được cấp; - Phương án bảo đảm quyền, lợi ích hợp pháp của tổ chức, cá nhân có liên quan đến hoạt động kiểm định chất lượng giáo dục nghề nghiệp do tổ chức kiểm định thực hiện.</w:t>
            </w:r>
          </w:p>
        </w:tc>
        <w:tc>
          <w:p/>
          <w:p>
            <w:pPr>
              <w:spacing w:after="0" w:before="0" w:lineRule="auto" w:line="276"/>
              <w:jc w:val="left"/>
            </w:pPr>
            <w:r>
              <w:rPr>
                <w:rFonts w:ascii="Times New Roman" w:hAnsi="Times New Roman" w:cs="Times New Roman" w:eastAsia="Times New Roman"/>
                <w:b w:val="false"/>
                <w:sz w:val="26"/>
              </w:rPr>
              <w:t>Mau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chứng nhận đủ điều kiện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2025-11-27T09:05:10Z</dcterms:created>
  <dc:creator>Apache POI</dc:creator>
</cp:coreProperties>
</file>