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1.000553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thể trường trung cấp, trung tâm giáo dục nghề nghiệp có vốn đầu tư nước ngoài; chấm dứt hoạt động phân hiệu của trường trung cấp có vốn đầu tư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Cơ sở giáo dục nghề nghiệp có vốn đầu tư nước ngoài lập hồ sơ giải thể hoặc chấm dứt hoạt động theo quy định tại khoản 3 Điều 66 Phụ lục I kèm theo Nghị định 142/2025/NĐ-CP gửi trực tiếp hoặc qua cổng dịch vụ công trực tuyến hoặc bưu điện đến Sở Giáo dục và Đào tạo đối với trung tâm giáo dục nghề nghiệp, trường trung cấp;</w:t>
      </w:r>
    </w:p>
    <w:p>
      <w:pPr>
        <w:spacing w:after="0" w:before="0" w:lineRule="auto" w:line="276"/>
        <w:jc w:val="both"/>
      </w:pPr>
      <w:r>
        <w:rPr>
          <w:rFonts w:ascii="Times New Roman" w:hAnsi="Times New Roman" w:cs="Times New Roman" w:eastAsia="Times New Roman"/>
          <w:b w:val="false"/>
          <w:sz w:val="26"/>
        </w:rPr>
        <w:t>b) Trong thời gian 15 ngày làm việc, kể từ ngày nhận đủ hồ sơ hợp lệ, Sở Giáo dục và Đào tạo có trách nhiệm thẩm định hồ sơ giải thể hoặc chấm dứt hoạt động, trình Chủ tịch Ủy ban nhân dân cấp tỉnh xem xét, quyết định cho phép giải thể hoặc chấm dứt hoạt động. Trong quyết định cho phép giải thể hoặc chấm dứt hoạt động cơ sở giáo dục nghề nghiệp có vốn đầu tư nước ngoài phải ghi rõ lý do giải thể hoặc chấm dứt hoạt động, các biện pháp bảo đảm quyền lợi của người học, nhà giáo, cán bộ quản lý, nhân viên và người lao động; phương án giải quyết tài sản và thực hiện nghĩa vụ về tài chính theo quy định của pháp luật;
Trường hợp hồ sơ giải thể hoặc chấm dứt hoạt động không hợp lệ, trong thời hạn 03 ngày làm việc kể từ ngày nhận được hồ sơ, Sở Giáo dục và Đào tạo có văn bản trả lời tổ chức, cá nhân đề nghị giải thể  hoặc chấm dứt hoạt động cơ sở giáo dục nghề nghiệp có vốn đầu tư nước ngoài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giải thể trường trung cấp, trung tâm giáo dục nghề nghiệp có vốn đầu tư nước ngoài; chấm dứt hoạt động phân hiệu của trường trung cấp có vốn đầu tư nước ngoài theo Mẫu 2E Phụ lục IX kèm theo Nghị định 142/2025/NĐ-CP.</w:t>
            </w:r>
          </w:p>
        </w:tc>
        <w:tc>
          <w:p/>
          <w:p>
            <w:pPr>
              <w:spacing w:after="0" w:before="0" w:lineRule="auto" w:line="276"/>
              <w:jc w:val="left"/>
            </w:pPr>
            <w:r>
              <w:rPr>
                <w:rFonts w:ascii="Times New Roman" w:hAnsi="Times New Roman" w:cs="Times New Roman" w:eastAsia="Times New Roman"/>
                <w:b w:val="false"/>
                <w:sz w:val="26"/>
              </w:rPr>
              <w:t>Mu2EPL9.doc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Đề án giải thể giải thể trường trung cấp, trung tâm giáo dục nghề nghiệp có vốn đầu tư nước ngoài; chấm dứt hoạt động phân hiệu của trường trung cấp có vốn đầu tư nước ngoài theo Mẫu 2G Phụ lục IX kèm theo Nghị định 142/2025/NĐ-CP.</w:t>
            </w:r>
          </w:p>
        </w:tc>
        <w:tc>
          <w:p/>
          <w:p>
            <w:pPr>
              <w:spacing w:after="0" w:before="0" w:lineRule="auto" w:line="276"/>
              <w:jc w:val="left"/>
            </w:pPr>
            <w:r>
              <w:rPr>
                <w:rFonts w:ascii="Times New Roman" w:hAnsi="Times New Roman" w:cs="Times New Roman" w:eastAsia="Times New Roman"/>
                <w:b w:val="false"/>
                <w:sz w:val="26"/>
              </w:rPr>
              <w:t>Mu2G_PL9.doc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có vốn đầu tư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giải thể trường trung cấp, trung tâm giáo dục nghề nghiệp có vốn đầu tư nước ngoài; Quyết định cho phép chấm dứt hoạt động phân hiệu của trường trung cấp có vốn đầu tư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74/2014/QH13</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giáo dục nghề nghiệp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https://thutuc.dichvucong.gov.vn/p/home/dvc-tthc-thu-tuc-hanh-chinh-chi-tiet.html?ma_thu_tuc=796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2025-11-27T09:05:23Z</dcterms:created>
  <dc:creator>Apache POI</dc:creator>
</cp:coreProperties>
</file>