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1.000718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Bổ sung, điều chỉnh quyết định cho phép hoạt động giáo dục đối với cơ sở đào tạo, bồi dưỡng ngắn hạn; cơ sở giáo dục mầm non; cơ sở giáo dục phổ thông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gửi hồ sơ xin phép bổ sung, điều chỉnh hoạt động giáo dục đến Sở Giáo dục và Đào tạo.</w:t>
      </w:r>
    </w:p>
    <w:p>
      <w:pPr>
        <w:spacing w:after="0" w:before="0" w:lineRule="auto" w:line="276"/>
        <w:jc w:val="both"/>
      </w:pPr>
      <w:r>
        <w:rPr>
          <w:rFonts w:ascii="Times New Roman" w:hAnsi="Times New Roman" w:cs="Times New Roman" w:eastAsia="Times New Roman"/>
          <w:b w:val="false"/>
          <w:sz w:val="26"/>
        </w:rPr>
        <w:t>Bước 2. Trường hợp hồ sơ không đầy đủ, trong thời hạn 05 ngày làm việc kể từ ngày tiếp nhận hồ sơ, cơ quan tiếp nhận hồ sơ thông báo bằng văn bản gửi trực tiếp hoặc qua dịch vụ bưu chính hoặc thư điện tử cho nhà đầu tư</w:t>
      </w:r>
    </w:p>
    <w:p>
      <w:pPr>
        <w:spacing w:after="0" w:before="0" w:lineRule="auto" w:line="276"/>
        <w:jc w:val="both"/>
      </w:pPr>
      <w:r>
        <w:rPr>
          <w:rFonts w:ascii="Times New Roman" w:hAnsi="Times New Roman" w:cs="Times New Roman" w:eastAsia="Times New Roman"/>
          <w:b w:val="false"/>
          <w:sz w:val="26"/>
        </w:rPr>
        <w:t>Bước 3: Trong thời hạn 20 ngày làm việc, kể từ ngày nhận được hồ sơ hợp lệ, cơ quan tiếp nhận hồ sơ tổ chức thẩm định theo quy định, trình các cấp có thẩm quyền xem xét, quyết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trong đó có nội dung và lý do bổ sung, điều chỉnh kèm theo giấy tờ</w:t>
            </w:r>
          </w:p>
        </w:tc>
        <w:tc>
          <w:p/>
          <w:p>
            <w:pPr>
              <w:spacing w:after="0" w:before="0" w:lineRule="auto" w:line="276"/>
              <w:jc w:val="left"/>
            </w:pPr>
            <w:r>
              <w:rPr>
                <w:rFonts w:ascii="Times New Roman" w:hAnsi="Times New Roman" w:cs="Times New Roman" w:eastAsia="Times New Roman"/>
                <w:b w:val="false"/>
                <w:sz w:val="26"/>
              </w:rPr>
              <w:t>Mẫu số 46.docx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chế tổ chức, hoạt động của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tiến độ thực hiện dự án đầu tư, tình hình góp vốn, vay vốn, tổng số vốn đầu tư đã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giải trình về việc cơ sở giáo dục đã đáp ứng các nội dung quy định tại các Điều 35, 36, 37 và 38 Nghị định số 86/2018/NĐ-CP, đồng thời gửi kèm: - Danh sách hiệu trưởng (giám đốc), phó hiệu trưởng (phó giám đốc), trưởng các khoa, phòng, ban và kế toán trưởng; - Danh sách và lý lịch cá nhân của cán bộ, giáo viên (cơ hữu, thỉnh giảng); - Mô tả cấp học, trình độ đào tạo, ngành đào tạo; - Chương trình, kế hoạch giảng dạy, tài liệu học tập, danh mục sách giáo khoa và tài liệu tham khảo chính; - Đối tượng tuyển sinh, quy chế và thời gian tuyển sinh; - Quy chế đào tạo; - Quy mô đào tạo (học sinh, học viên); - Các quy định về học phí và các loại phí liên quan; - Quy định về kiểm tra, đánh giá, công nhận hoàn thành chương trình môn học, mô đun, trình độ đào tạo; - Mẫu văn bằng, chứng chỉ sẽ được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của quyết định cho phép thành lập đối với cơ sở giáo dục có vốn đầu tư nước ngoài; bản sao có chứng thực hoặc bản sao kèm theo bản gốc để đối chiếu giấy chứng nhận đăng ký đầu tư và giấy chứng nhận đăng ký doanh nghiệp đối với cơ sở đào tạo, bồi dưỡng ngắn hạn có vốn đầu tư nước ngoài. Trường hợp cơ quan có thẩm quyền khai thác được thông tin này từ Cơ sở dữ liệu chuyên ngành hoặc từ cơ quan nhà nước thì tổ chức, cá nhân không cần phải cung cấp văn bản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Quyết định/Văn bản đồng ý bổ sung, điều chỉnh quyết định cho phép hoạt động giáo dục đối với cơ sở đào tạo, bồi dưỡng ngắn hạn; cơ sở giáo dục mầm non; cơ sở giáo dục phổ thông có vốn đầu tư nước ngoài tại Việt Namcủa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giáo dục mầm non/cơ sở giáo dục phổ thông; cơ sở đào tạo, bồi dưỡng ngắn hạn có vốn đầu tư nước ngoài có nhu cầu bổ sung, điều chỉnh các nội ung quyết định cho phép hoạt động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2025-11-27T09:05:32Z</dcterms:created>
  <dc:creator>Apache POI</dc:creator>
</cp:coreProperties>
</file>