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after="300" w:before="0" w:lineRule="auto" w:line="276"/>
        <w:jc w:val="center"/>
      </w:pPr>
      <w:r>
        <w:rPr>
          <w:rFonts w:ascii="Times New Roman" w:hAnsi="Times New Roman" w:cs="Times New Roman" w:eastAsia="Times New Roman"/>
          <w:b w:val="true"/>
          <w:sz w:val="26"/>
        </w:rPr>
        <w:t>Chi tiết thủ tục hành chính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Mã thủ tục: </w:t>
      </w:r>
      <w:r>
        <w:rPr>
          <w:rFonts w:ascii="Times New Roman" w:hAnsi="Times New Roman" w:cs="Times New Roman" w:eastAsia="Times New Roman"/>
          <w:b w:val="false"/>
          <w:sz w:val="26"/>
        </w:rPr>
        <w:t>1.001088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Số quyết định: </w:t>
      </w:r>
      <w:r>
        <w:rPr>
          <w:rFonts w:ascii="Times New Roman" w:hAnsi="Times New Roman" w:cs="Times New Roman" w:eastAsia="Times New Roman"/>
          <w:b w:val="false"/>
          <w:sz w:val="26"/>
        </w:rPr>
        <w:t>2108/QĐ-BGDĐT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Tên thủ tục: </w:t>
      </w:r>
      <w:r>
        <w:rPr>
          <w:rFonts w:ascii="Times New Roman" w:hAnsi="Times New Roman" w:cs="Times New Roman" w:eastAsia="Times New Roman"/>
          <w:b w:val="false"/>
          <w:sz w:val="26"/>
        </w:rPr>
        <w:t>Xin học lại tại trường khác đối với học sinh trung học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Cấp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Cấp Tỉnh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Loại thủ tục: </w:t>
      </w:r>
      <w:r>
        <w:rPr>
          <w:rFonts w:ascii="Times New Roman" w:hAnsi="Times New Roman" w:cs="Times New Roman" w:eastAsia="Times New Roman"/>
          <w:b w:val="false"/>
          <w:sz w:val="26"/>
        </w:rPr>
        <w:t>TTHC được luật giao quy định chi tiết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Lĩnh vực: </w:t>
      </w:r>
      <w:r>
        <w:rPr>
          <w:rFonts w:ascii="Times New Roman" w:hAnsi="Times New Roman" w:cs="Times New Roman" w:eastAsia="Times New Roman"/>
          <w:b w:val="false"/>
          <w:sz w:val="26"/>
        </w:rPr>
        <w:t>Giáo dục trung học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Trình tự thực hiện: </w:t>
      </w:r>
    </w:p>
    <w:p>
      <w:pPr>
        <w:shd w:val="clear" w:color="auto" w:fill="F2F6F9"/>
        <w:spacing w:after="0" w:before="12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/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false"/>
          <w:sz w:val="26"/>
        </w:rPr>
        <w:t>Trường hợp xin học lại vào lớp đầu cấp trung học phổ thông: Giám đốc Sở Giáo dục và Đào tạo xem xét, quyết định trên cơ sở kết quả thi tuyển hoặc xét tuyển của học sinh trước khi nghỉ học.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false"/>
          <w:sz w:val="26"/>
        </w:rPr>
        <w:t>Trường hợp xin học lại tại trường khác: Hồ sơ bổ sung và thủ tục thực hiện như đối với học sinh chuyển trường.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false"/>
          <w:sz w:val="26"/>
        </w:rPr>
        <w:t>Trường hợp xin học lại tại trường cũ: Hiệu trưởng nhà trường cho phép nhập học sau khi đã kiểm tra hồ sơ.</w:t>
      </w:r>
    </w:p>
    <w:p>
      <w:pPr>
        <w:spacing w:after="0" w:before="24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Cách thức thực hiện: 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5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Hình thức nộp</w:t>
            </w:r>
          </w:p>
        </w:tc>
        <w:tc>
          <w:tcPr>
            <w:tcW w:w="2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Thời hạn giải quyết</w:t>
            </w:r>
          </w:p>
        </w:tc>
        <w:tc>
          <w:tcPr>
            <w:tcW w:w="35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Phí, lệ phí</w:t>
            </w:r>
          </w:p>
        </w:tc>
        <w:tc>
          <w:tcPr>
            <w:tcW w:w="3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Mô tả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Trực tiếp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 xml:space="preserve">Chưa quy định cụ thể 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Tại Trụ sở cơ quan hành chính; Việc xin học lại được thực hiện trong thời gian hè trước khi khai giảng năm học mới.</w:t>
            </w:r>
          </w:p>
        </w:tc>
      </w:tr>
    </w:tbl>
    <w:p>
      <w:pPr>
        <w:spacing w:after="0" w:before="24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Thành phần hồ sơ: </w:t>
      </w:r>
    </w:p>
    <w:p>
      <w:pPr>
        <w:shd w:val="clear" w:color="auto" w:fill="F2F6F9"/>
        <w:spacing w:after="0" w:before="12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>Bao gồm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6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Tên giấy tờ</w:t>
            </w:r>
          </w:p>
        </w:tc>
        <w:tc>
          <w:tcPr>
            <w:tcW w:w="2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Mẫu đơn, tờ khai</w:t>
            </w:r>
          </w:p>
        </w:tc>
        <w:tc>
          <w:tcPr>
            <w:tcW w:w="2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Số lượng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Đơn  xin  học lại học sinh ký.</w:t>
            </w:r>
          </w:p>
        </w:tc>
        <w:tc>
          <w:p/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 xml:space="preserve">Bản chính: </w:t>
              <w:t>1</w:t>
              <w:br/>
              <w:t xml:space="preserve">Bản sao: </w:t>
              <w:t>0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Học bạ của lớp hoặc cấp học đó học (bản chính).</w:t>
            </w:r>
          </w:p>
        </w:tc>
        <w:tc>
          <w:p/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 xml:space="preserve">Bản chính: </w:t>
              <w:t>1</w:t>
              <w:br/>
              <w:t xml:space="preserve">Bản sao: </w:t>
              <w:t>0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Bằng tốt nghiệp cấp học dưới (bản công chứng).</w:t>
            </w:r>
          </w:p>
        </w:tc>
        <w:tc>
          <w:p/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 xml:space="preserve">Bản chính: </w:t>
              <w:t>0</w:t>
              <w:br/>
              <w:t xml:space="preserve">Bản sao: </w:t>
              <w:t>1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Giấy xác  nhận của chính quyền địa phương nơi cư trú về việc chấp hành chính sách và pháp luật của nhà nước.</w:t>
            </w:r>
          </w:p>
        </w:tc>
        <w:tc>
          <w:p/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 xml:space="preserve">Bản chính: </w:t>
              <w:t>1</w:t>
              <w:br/>
              <w:t xml:space="preserve">Bản sao: </w:t>
              <w:t>0</w:t>
            </w:r>
          </w:p>
        </w:tc>
      </w:tr>
    </w:tbl>
    <w:p>
      <w:pPr>
        <w:spacing w:after="0" w:before="24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Đối tượng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Công dân Việt Nam, Người Việt Nam định cư ở nước ngoài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Cơ quan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Cơ sở giáo dục phổ thông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Cơ quan có thẩm quyền: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Địa chỉ tiếp nhận HS: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Cơ quan được ủy quyền: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Cơ quan phối hợp: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Kết quả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Cho phép học sinh học lại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Căn cứ pháp lý: 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2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Số ký hiệu</w:t>
            </w:r>
          </w:p>
        </w:tc>
        <w:tc>
          <w:tcPr>
            <w:tcW w:w="35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Trích yếu</w:t>
            </w:r>
          </w:p>
        </w:tc>
        <w:tc>
          <w:tcPr>
            <w:tcW w:w="15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Ngày ban hành</w:t>
            </w:r>
          </w:p>
        </w:tc>
        <w:tc>
          <w:tcPr>
            <w:tcW w:w="3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Cơ quan ban hành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51/2002/QĐ-BGDĐT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Về việc ban hành Quy định chuyển trường và tiếp nhận học sinh học tại các trường trung học cơ sở và trung học phổ thông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25-12-2002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Bộ Giáo dục và Đào tạo</w:t>
            </w:r>
          </w:p>
        </w:tc>
      </w:tr>
    </w:tbl>
    <w:p>
      <w:pPr>
        <w:spacing w:after="0" w:before="24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Yêu cầu, điều kiện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Học sinh xin học lại sau thời gian nghỉ nhưng còn trong độ tuổi quy định của từng cấp học.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Từ khóa: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Mô tả: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/>
    <w:p>
      <w:pPr>
        <w:jc w:val="left"/>
      </w:pPr>
      <w:r>
        <w:rPr>
          <w:rFonts w:ascii="Times New Roman" w:hAnsi="Times New Roman"/>
          <w:sz w:val="24"/>
        </w:rPr>
        <w:t xml:space="preserve">Để xem chi tiết thủ tục hành chính, vui lòng truy cập link sau: </w:t>
      </w:r>
      <w:r>
        <w:rPr>
          <w:rFonts w:ascii="Times New Roman" w:hAnsi="Times New Roman"/>
          <w:color w:val="0000FF"/>
          <w:sz w:val="24"/>
          <w:u w:val="single"/>
        </w:rPr>
        <w:t>https://thutuc.dichvucong.gov.vn/p/home/dvc-tthc-thu-tuc-hanh-chinh-chi-tiet.html?ma_thu_tuc=1620</w:t>
      </w:r>
    </w:p>
    <w:sectPr>
      <w:pgMar w:left="1702" w:top="1137" w:right="1137" w:bottom="1137"/>
    </w:sectPr>
  </w:body>
</w:document>
</file>

<file path=word/settings.xml><?xml version="1.0" encoding="utf-8"?>
<w:settings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2025-11-27T09:05:55Z</dcterms:created>
  <dc:creator>Apache POI</dc:creator>
</cp:coreProperties>
</file>