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điều chỉnh hoạt động liên kết đào tạo trình độ đại học, thạc sĩ, tiến sĩ</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Các bên liên kết nộp hồ sơ cho Bộ Giáo dục và Đào tạo đối với hồ sơ phê duyệt gia hạn hoặc điều chỉnh liên kết đào tạo trình độ đại học, thạc sĩ, tiến sĩ với nước ngoài (trừ trường hợp thuộc thẩm quyền quy định tại khoản 5 Điều 45 Luật Giáo dục đại học (sửa đổi, bổ sung năm 2018) và điểm e, khoản 1 Điều 13 Nghị định số 99/2019/NĐ-CP ngày 30 tháng 12 năm 2019 của Chính phủ quy định chi tiết và hướng dẫn thi hành một số điều của Luật sửa đổi, bổ sung một số điều của Luật Giáo dục đại học và các quy định của pháp luật có liên quan)</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tiếp nhận hồ sơ, nếu hồ sơ không đầy đủ theo quy định, cơ quan tiếp nhận hồ sơ thông báo bằng văn bản gửi trực tiếp hoặc qua dịch vụ bưu chính hoặc thư điện tử cho các bên liên kết.</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hồ sơ hợp lệ, cơ quan tiếp nhận hồ sơ tổ chức thẩm định, quyết định phê duyệt gia hạn hoặc điều chỉnh liên kết đào tạo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gia hạn hoặc điều chỉnh liên kết giáo dục do các bên liên kết cùng ký theo Mấu số 11 tại Phụ lục Nghị định số 86/2018/NĐ-CP</w:t>
            </w:r>
          </w:p>
        </w:tc>
        <w:tc>
          <w:p/>
          <w:p>
            <w:pPr>
              <w:spacing w:after="0" w:before="0" w:lineRule="auto" w:line="276"/>
              <w:jc w:val="left"/>
            </w:pPr>
            <w:r>
              <w:rPr>
                <w:rFonts w:ascii="Times New Roman" w:hAnsi="Times New Roman" w:cs="Times New Roman" w:eastAsia="Times New Roman"/>
                <w:b w:val="false"/>
                <w:sz w:val="26"/>
              </w:rPr>
              <w:t>Mẫu số 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tổng kết hoạt động liên kết đào tạo trong thời gian được cấp phép</w:t>
            </w:r>
          </w:p>
        </w:tc>
        <w:tc>
          <w:p/>
          <w:p>
            <w:pPr>
              <w:spacing w:after="0" w:before="0" w:lineRule="auto" w:line="276"/>
              <w:jc w:val="left"/>
            </w:pPr>
            <w:r>
              <w:rPr>
                <w:rFonts w:ascii="Times New Roman" w:hAnsi="Times New Roman" w:cs="Times New Roman" w:eastAsia="Times New Roman"/>
                <w:b w:val="false"/>
                <w:sz w:val="26"/>
              </w:rPr>
              <w:t>Mẫu số 47b.docx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Thỏa thuận (Hợp đồng) hợp tác đang còn hiệu lực giữa các bên liên kết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gia hạn hoặc điều chỉnh liên kết đào tạo của cấp có thẩm quyền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Việc gia hạn LKĐT phải thực hiện trong thời hạn 06 tháng trước khi liên kết đào tạo hết thời hạn. Việc điều chỉnh liên kết đào tạo thực hiện khi có yêu cầu của các bên liên kết.
- Thực hiện đúng quy định trong Quyết định phê duyệt liên kết đào tạo;
- Không có hành vi vi phạm pháp luật Việt Nam và pháp luật nước ngoài;
- Chương trình liên kết đào tạo tiếp tục đáp ứng các điều kiện về kiểm định chất lượng.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https://thutuc.dichvucong.gov.vn/p/home/dvc-tthc-thu-tuc-hanh-chinh-chi-tiet.html?ma_thu_tuc=1681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2025-11-27T09:05:56Z</dcterms:created>
  <dc:creator>Apache POI</dc:creator>
</cp:coreProperties>
</file>