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cơ sở đào tạo, bồi dưỡng ngắn hạn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nộp hồ sơ đề nghị chấm dứt hoạt động của cơ sở đào tạo, bồi dưỡng ngắn hạn có vốn đầu tư nước ngoài cho Sở Giáo dục và Đào tạo.</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hồ sơ, nếu hồ sơ không đáp ứng yêu cầu quy định thì cơ quan tiếp nhận hồ sơ thông báo bằng văn bản gửi trực tiếp hoặc qua qua dịch vụ bưu chính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thời hạn 30 ngày làm việc kể từ ngày nhận đủ hồ sơ, cơ quan tiếp nhận hồ sơ chủ trì thẩm định, trình các cấp có thẩm quyền xem xét, quyết định.
Quyết định giải thể, chấm dứt hoạt động của cơ sở giáo dục phải ghi rõ lý do giải thể, chấm dứt hoạt động, các biện pháp đảm bảo quyền hợp pháp của người học, nhà giáo, cán bộ quản lý và nhân viên phải được công bố công khai trên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chấm dứt hoạt động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giải thể, chấm dứt hoạt động của cơ sở giáo dục có vốn đầu tư nước ngoài trong đó nêu rõ các biện pháp bảo đảm quyền lợi hợp pháp của người học, nhà giáo cán bộ quản lý và nhân viên; phương án giải quyết tài chính, tài sản</w:t>
            </w:r>
          </w:p>
        </w:tc>
        <w:tc>
          <w:p/>
          <w:p>
            <w:pPr>
              <w:spacing w:after="0" w:before="0" w:lineRule="auto" w:line="276"/>
              <w:jc w:val="left"/>
            </w:pPr>
            <w:r>
              <w:rPr>
                <w:rFonts w:ascii="Times New Roman" w:hAnsi="Times New Roman" w:cs="Times New Roman" w:eastAsia="Times New Roman"/>
                <w:b w:val="false"/>
                <w:sz w:val="26"/>
              </w:rPr>
              <w:t>Mus52.docx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định/Văn bản đồng ý cho giải thể cơ sở giáo dục của cơ quan có thẩm quyền, Quyết định chấm dứt hoạt động cơ sở đào tạo, bồi dưỡng ngắn hạn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Theo đề nghị của tổ chức, cá nhân thành lập cơ sở giáo dục có vốn đầu tư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2025-11-27T09:06:05Z</dcterms:created>
  <dc:creator>Apache POI</dc:creator>
</cp:coreProperties>
</file>