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Cho phép hoạt động giáo dục trở lại đối với cơ sở đào tạo, bồi dưỡng ngắn hạn;cơ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giáo dục mầm non; cơ sở giáo dục phổ thông; cơ sở đào tạo, bồi dưỡng ngắn hạn có vốn đầu tư nước ngoài tại Việt Nam bị đình chỉ hoạt động giáo dục gửi hồ sơ trực tiếp hoặc qua đường bưu điện đến Sở Giáo dục và Đào tạo.</w:t>
      </w:r>
    </w:p>
    <w:p>
      <w:pPr>
        <w:spacing w:after="0" w:before="0" w:lineRule="auto" w:line="276"/>
        <w:jc w:val="both"/>
      </w:pPr>
      <w:r>
        <w:rPr>
          <w:rFonts w:ascii="Times New Roman" w:hAnsi="Times New Roman" w:cs="Times New Roman" w:eastAsia="Times New Roman"/>
          <w:b w:val="false"/>
          <w:sz w:val="26"/>
        </w:rPr>
        <w:t>Bước 2: Trường hợp hồ sơ không đầy đủ, trong thời hạn 05 ngày làm việc kể từ ngày tiếp nhận hồ sơ, Sở Giáo dục và Đào tạo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20 ngày làm việc kể từ ngày nhận đủ hồ sơ đề nghị cho phép hoạt động giáo dục trở lại hợp lệ, Sở Giáo dục và Đào tạo chủ trì, phối hợp với các cơ quan, đơn vị có liên quan thẩm định và trình cấp có thẩm quyền xem xét, quyết định.
Trường hợp cơ sở giáo dục chưa đủ điều kiện để hoạt động trở lại, trong thời hạn 05 ngày làm việc kể từ ngày nhận được ý kiến của cấp có thẩm quyền, Sở Giáo dục và Đào tạo trả lời bằng văn bản cho nhà đầu tư, trong đó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20 ngày làm việc kể từ ngày nhận đủ hồ sơ đề nghị cho phép hoạt động giáo dục trở lại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cho phép hoạt động giáo dục trở lại, trong đó nêu rõ kết quả khắc phục vi phạm dẫn đến bị đình chỉ</w:t>
            </w:r>
          </w:p>
        </w:tc>
        <w:tc>
          <w:p/>
          <w:p>
            <w:pPr>
              <w:spacing w:after="0" w:before="0" w:lineRule="auto" w:line="276"/>
              <w:jc w:val="left"/>
            </w:pPr>
            <w:r>
              <w:rPr>
                <w:rFonts w:ascii="Times New Roman" w:hAnsi="Times New Roman" w:cs="Times New Roman" w:eastAsia="Times New Roman"/>
                <w:b w:val="false"/>
                <w:sz w:val="26"/>
              </w:rPr>
              <w:t>Mẫu số 44.docx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kết quả khắc phục vi phạm dẫn đến bị đình chỉ theo mẫu</w:t>
            </w:r>
          </w:p>
        </w:tc>
        <w:tc>
          <w:p/>
          <w:p>
            <w:pPr>
              <w:spacing w:after="0" w:before="0" w:lineRule="auto" w:line="276"/>
              <w:jc w:val="left"/>
            </w:pPr>
            <w:r>
              <w:rPr>
                <w:rFonts w:ascii="Times New Roman" w:hAnsi="Times New Roman" w:cs="Times New Roman" w:eastAsia="Times New Roman"/>
                <w:b w:val="false"/>
                <w:sz w:val="26"/>
              </w:rPr>
              <w:t>Mẫu số 50.docx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cho phép hoạt động giáo dục trở lại đối với cơ sở đào tạo, bồi dưỡng ngắn hạn;cơ sở giáo dục mầm non; cơ sở giáo dục phổ thông có vốn đầu tư nước ngoài tại Việt Nam của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Cơ sở giáo dục đại học có vốn đầu tư nước ngoài hoặc phân hiệu của cơ sở giáo dục đại học có vốn đầu tư nước ngoài được cho phép hoạt động trở lại khi khắc phục được vi phạm dẫn đến bị đình chỉ hoạt động giáo dục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https://thutuc.dichvucong.gov.vn/p/home/dvc-tthc-thu-tuc-hanh-chinh-chi-tiet.html?ma_thu_tuc=2178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2025-11-27T09:06:08Z</dcterms:created>
  <dc:creator>Apache POI</dc:creator>
</cp:coreProperties>
</file>