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1.001497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Gia hạn, điều chỉnh hoạt động liên kết giáo dục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Các bên liên kết nộp hồ sơ choSở Giáo dục và Đào tạo.</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tiếp nhận hồ sơ, nếu hồ sơ không đầy đủ theo quy định, cơ quan tiếp nhận hồ sơ thông báo bằng văn bản gửi trực tiếp hoặc qua dịch vụ bưu chính hoặc thư điện tử cho các bên liên kết.</w:t>
      </w:r>
    </w:p>
    <w:p>
      <w:pPr>
        <w:spacing w:after="0" w:before="0" w:lineRule="auto" w:line="276"/>
        <w:jc w:val="both"/>
      </w:pPr>
      <w:r>
        <w:rPr>
          <w:rFonts w:ascii="Times New Roman" w:hAnsi="Times New Roman" w:cs="Times New Roman" w:eastAsia="Times New Roman"/>
          <w:b w:val="false"/>
          <w:sz w:val="26"/>
        </w:rPr>
        <w:t>Bước 3: Trong thời hạn 10 ngày làm việc, kể từ ngày nhận được đủ hồ sơ, cơ quan tiếp nhận hồ sơ tổ chức thẩm định, quyết định phê duyệt gia hạn hoặc điều chỉnh liên kết giáo dục;</w:t>
      </w:r>
    </w:p>
    <w:p>
      <w:pPr>
        <w:spacing w:after="0" w:before="0" w:lineRule="auto" w:line="276"/>
        <w:jc w:val="both"/>
      </w:pPr>
      <w:r>
        <w:rPr>
          <w:rFonts w:ascii="Times New Roman" w:hAnsi="Times New Roman" w:cs="Times New Roman" w:eastAsia="Times New Roman"/>
          <w:b w:val="false"/>
          <w:sz w:val="26"/>
        </w:rPr>
        <w:t>Trường hợp liên kết đào tạo không được gia hạn, điều chỉnh, cơ quan tiếp nhận hồ sơ phải trả lời bằng văn bản, trong đó nêu rõ lý do.
Trường hợp điều chỉnh liên kết giáo dục trong đó có điều chỉnh chương trình giáo dục tích hợp thì Sở GDĐT có trách nhiệm thực hiện việc gửi hồ sơ đề nghị phê duyệt điều chỉnh chương trình giáo dục tích hợp đến Bộ Giáo dục và Đào tạo theo quy định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10 ngày làm việc, kể từ ngày nhận được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gia hạn hoặc điều chỉnh liên kết giáo dục do các bên liên kết cùng ký tại Mẫu số 04 của Phụ lục Nghị định số 86/2018/NĐ-CP</w:t>
            </w:r>
          </w:p>
        </w:tc>
        <w:tc>
          <w:p/>
          <w:p>
            <w:pPr>
              <w:spacing w:after="0" w:before="0" w:lineRule="auto" w:line="276"/>
              <w:jc w:val="left"/>
            </w:pPr>
            <w:r>
              <w:rPr>
                <w:rFonts w:ascii="Times New Roman" w:hAnsi="Times New Roman" w:cs="Times New Roman" w:eastAsia="Times New Roman"/>
                <w:b w:val="false"/>
                <w:sz w:val="26"/>
              </w:rPr>
              <w:t>Mẫu số 04.docx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tổng kết hoạt động liên kết trong thời gian được cấp phép</w:t>
            </w:r>
          </w:p>
        </w:tc>
        <w:tc>
          <w:p/>
          <w:p>
            <w:pPr>
              <w:spacing w:after="0" w:before="0" w:lineRule="auto" w:line="276"/>
              <w:jc w:val="left"/>
            </w:pPr>
            <w:r>
              <w:rPr>
                <w:rFonts w:ascii="Times New Roman" w:hAnsi="Times New Roman" w:cs="Times New Roman" w:eastAsia="Times New Roman"/>
                <w:b w:val="false"/>
                <w:sz w:val="26"/>
              </w:rPr>
              <w:t>Mẫu số 47a.docx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Thỏa thuận (Hợp đồng) hợp tác đang còn hiệu lực giữa các bên liên kết trong đó có thông tin theo quy định tại điểm b khoản 1 Điều 9 Nghị định số 86/2018/NĐ-CP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phê duyệt gia hạn hoặc điều chỉnh liên kết giáo dục của Giám đốc Sở Giáo dục và Đào tạo</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Việc gia hạn liên kết giáo dục phải được thực hiện trong thời hạn 06 tháng trước khi liên kết giáo dục hết thời hạn.
- Thực hiện đúng quy định trong Quyết định phê duyệt liên kết giáo dục, không có hành vi vi phạm pháp luật Việt Nam và pháp luật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Ghi chú:
Đối tượng thực hiện thủ tục hành chính: Cơ sở giáo dục mầm non tư thục, cơ sở giáo dục phổ thông tư thục của Việt Nam và cơ sở giáo dục hoạt động hợp pháp ở nước ngoài, được cơ quan, tổ chức kiểm định chất lượng giáo dục hoặc cơ quan có thẩm quyền của nước ngoài công nhận về chất lượng giáo dục</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https://thutuc.dichvucong.gov.vn/p/home/dvc-tthc-thu-tuc-hanh-chinh-chi-tiet.html?ma_thu_tuc=2180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2025-11-27T09:06:06Z</dcterms:created>
  <dc:creator>Apache POI</dc:creator>
</cp:coreProperties>
</file>