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Văn phòng đại diện giáo dục nước ngoài tại Việt Nam theo đề nghị của tổ chức, cơ sở giáo dục nước ngoài thành lập văn phòng đại diện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nước ngoài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cơ quan tiếp nhận hồ sơ, cơ quan, đơn vị được hỏi ý kiến phải có văn bản trả lời;
 d) Trong thời hạn 15 ngày làm việc kể từ ngày nhận đủ ý kiến, Sở Giáo dục và Đào tạo lập báo cáo thẩm định; nếu đủ điều kiện thì Sở Giáo dục và Đào tạo trình Chủ tịch Ủy ban nhân dân cấp tỉnh quyết định theo Mẫu số 07 hoặc Mẫu số 08 tại Phụ lục II ban hành kèm theo Nghị định này;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hoạt động của văn phòng đại diện giáo dục nước ngoài trong đó nêu rõ lý do chấm dứt hoạt động</w:t>
            </w:r>
          </w:p>
        </w:tc>
        <w:tc>
          <w:p/>
          <w:p>
            <w:pPr>
              <w:spacing w:after="0" w:before="0" w:lineRule="auto" w:line="276"/>
              <w:jc w:val="left"/>
            </w:pPr>
            <w:r>
              <w:rPr>
                <w:rFonts w:ascii="Times New Roman" w:hAnsi="Times New Roman" w:cs="Times New Roman" w:eastAsia="Times New Roman"/>
                <w:b w:val="false"/>
                <w:sz w:val="26"/>
              </w:rPr>
              <w:t>Mẫu số 56.docx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chấm dứt hoạt động trong đó nêu rõ các biện pháp đảm bảo quyền lợi hợp pháp của người lao động và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của văn phòng đại diện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tổ chức, cơ sở giáo dục nước ngoài thành lập văn phòng đại diện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
Đối tượng thực hiện thủ tục hành chính: Tổ chức, cơ sở giáo dục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2025-11-27T09:06:08Z</dcterms:created>
  <dc:creator>Apache POI</dc:creator>
</cp:coreProperties>
</file>